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226C" w14:textId="762911AD" w:rsidR="00BD5C80" w:rsidRPr="009341C5" w:rsidRDefault="00BD5C80" w:rsidP="00D37CFC">
      <w:pPr>
        <w:pStyle w:val="Heading2"/>
        <w:rPr>
          <w:rFonts w:ascii="Aptos" w:hAnsi="Aptos"/>
          <w:sz w:val="22"/>
          <w:szCs w:val="22"/>
        </w:rPr>
      </w:pPr>
    </w:p>
    <w:p w14:paraId="1AAE6627" w14:textId="79DA5986" w:rsidR="00BD5C80" w:rsidRPr="009341C5" w:rsidRDefault="00235F4C" w:rsidP="00D37CFC">
      <w:pPr>
        <w:pStyle w:val="Heading2"/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COSPPac and WRP – synergies and differences</w:t>
      </w:r>
    </w:p>
    <w:p w14:paraId="18EC654A" w14:textId="565E2B82" w:rsidR="007B483F" w:rsidRPr="009341C5" w:rsidRDefault="005C2E79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 xml:space="preserve">The purpose of this paper is to highlight the </w:t>
      </w:r>
      <w:r w:rsidR="00D37CFC" w:rsidRPr="009341C5">
        <w:rPr>
          <w:rFonts w:ascii="Aptos" w:hAnsi="Aptos"/>
          <w:sz w:val="22"/>
          <w:szCs w:val="22"/>
        </w:rPr>
        <w:t>differences, rationale, and areas for collaboration between COSPPac and WRP. The two program teams agreed on these arrangements during a workshop in February 2026.</w:t>
      </w:r>
    </w:p>
    <w:p w14:paraId="03C76487" w14:textId="3EAEEF43" w:rsidR="00D37CFC" w:rsidRPr="009341C5" w:rsidRDefault="00D37CFC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This paper does not aim to justify why each program is valuable – the respective program designs already document this. Rather, this paper is focused on the overlap and separation between the two programs.</w:t>
      </w:r>
    </w:p>
    <w:p w14:paraId="4D28CEF8" w14:textId="074C0667" w:rsidR="007B483F" w:rsidRPr="009341C5" w:rsidRDefault="007B483F" w:rsidP="00D37CFC">
      <w:pPr>
        <w:pStyle w:val="Heading3"/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 xml:space="preserve">Should </w:t>
      </w:r>
      <w:r w:rsidR="00510D8C" w:rsidRPr="009341C5">
        <w:rPr>
          <w:rFonts w:ascii="Aptos" w:hAnsi="Aptos"/>
          <w:sz w:val="22"/>
          <w:szCs w:val="22"/>
        </w:rPr>
        <w:t>COSPPac and WRP</w:t>
      </w:r>
      <w:r w:rsidRPr="009341C5">
        <w:rPr>
          <w:rFonts w:ascii="Aptos" w:hAnsi="Aptos"/>
          <w:sz w:val="22"/>
          <w:szCs w:val="22"/>
        </w:rPr>
        <w:t xml:space="preserve"> be separate programs? Why?</w:t>
      </w:r>
    </w:p>
    <w:p w14:paraId="589A904A" w14:textId="008B0702" w:rsidR="007B483F" w:rsidRPr="009341C5" w:rsidRDefault="007B483F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WRP and COSPPac partners agreed that both programs should continue separately, for the following reasons:</w:t>
      </w:r>
    </w:p>
    <w:p w14:paraId="310830CB" w14:textId="2229E35C" w:rsidR="00510D8C" w:rsidRPr="009341C5" w:rsidRDefault="00510D8C" w:rsidP="00CA6B3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 xml:space="preserve">The programs work in different areas </w:t>
      </w:r>
      <w:r w:rsidR="0084663F" w:rsidRPr="009341C5">
        <w:rPr>
          <w:rFonts w:ascii="Aptos" w:hAnsi="Aptos"/>
          <w:b/>
          <w:bCs/>
          <w:sz w:val="22"/>
          <w:szCs w:val="22"/>
        </w:rPr>
        <w:t>of Met Services</w:t>
      </w:r>
      <w:r w:rsidR="00A8561D" w:rsidRPr="009341C5">
        <w:rPr>
          <w:rFonts w:ascii="Aptos" w:hAnsi="Aptos"/>
          <w:sz w:val="22"/>
          <w:szCs w:val="22"/>
        </w:rPr>
        <w:t xml:space="preserve">. </w:t>
      </w:r>
      <w:r w:rsidR="0084663F" w:rsidRPr="009341C5">
        <w:rPr>
          <w:rFonts w:ascii="Aptos" w:hAnsi="Aptos"/>
          <w:sz w:val="22"/>
          <w:szCs w:val="22"/>
        </w:rPr>
        <w:t>COSPPac primarily in climate</w:t>
      </w:r>
      <w:r w:rsidR="3B737A1B" w:rsidRPr="009341C5">
        <w:rPr>
          <w:rFonts w:ascii="Aptos" w:hAnsi="Aptos"/>
          <w:sz w:val="22"/>
          <w:szCs w:val="22"/>
        </w:rPr>
        <w:t xml:space="preserve"> and ocean</w:t>
      </w:r>
      <w:r w:rsidR="0084663F" w:rsidRPr="009341C5">
        <w:rPr>
          <w:rFonts w:ascii="Aptos" w:hAnsi="Aptos"/>
          <w:sz w:val="22"/>
          <w:szCs w:val="22"/>
        </w:rPr>
        <w:t xml:space="preserve"> services (timescale: weeks to years), WRP primarily in weather services (timescale: minutes to one week). </w:t>
      </w:r>
    </w:p>
    <w:p w14:paraId="52463C77" w14:textId="4FE2CBA9" w:rsidR="007B483F" w:rsidRPr="009341C5" w:rsidRDefault="007B483F" w:rsidP="00CA6B3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We do not need to destabilise things that are working well</w:t>
      </w:r>
      <w:r w:rsidRPr="009341C5">
        <w:rPr>
          <w:rFonts w:ascii="Aptos" w:hAnsi="Aptos"/>
          <w:sz w:val="22"/>
          <w:szCs w:val="22"/>
        </w:rPr>
        <w:t>.</w:t>
      </w:r>
      <w:r w:rsidR="00A8561D" w:rsidRPr="009341C5">
        <w:rPr>
          <w:rFonts w:ascii="Aptos" w:hAnsi="Aptos"/>
          <w:sz w:val="22"/>
          <w:szCs w:val="22"/>
        </w:rPr>
        <w:t xml:space="preserve"> </w:t>
      </w:r>
      <w:r w:rsidR="0041761F" w:rsidRPr="009341C5">
        <w:rPr>
          <w:rFonts w:ascii="Aptos" w:hAnsi="Aptos"/>
          <w:sz w:val="22"/>
          <w:szCs w:val="22"/>
        </w:rPr>
        <w:t xml:space="preserve">WRP is </w:t>
      </w:r>
      <w:r w:rsidR="009121A2" w:rsidRPr="009341C5">
        <w:rPr>
          <w:rFonts w:ascii="Aptos" w:hAnsi="Aptos"/>
          <w:sz w:val="22"/>
          <w:szCs w:val="22"/>
        </w:rPr>
        <w:t xml:space="preserve">new and </w:t>
      </w:r>
      <w:r w:rsidR="0041761F" w:rsidRPr="009341C5">
        <w:rPr>
          <w:rFonts w:ascii="Aptos" w:hAnsi="Aptos"/>
          <w:sz w:val="22"/>
          <w:szCs w:val="22"/>
        </w:rPr>
        <w:t xml:space="preserve">scaling up, and COSPPac is an established, </w:t>
      </w:r>
      <w:r w:rsidR="4F1F873C" w:rsidRPr="009341C5">
        <w:rPr>
          <w:rFonts w:ascii="Aptos" w:hAnsi="Aptos"/>
          <w:sz w:val="22"/>
          <w:szCs w:val="22"/>
        </w:rPr>
        <w:t>long</w:t>
      </w:r>
      <w:r w:rsidR="5485BA1D" w:rsidRPr="009341C5">
        <w:rPr>
          <w:rFonts w:ascii="Aptos" w:hAnsi="Aptos"/>
          <w:sz w:val="22"/>
          <w:szCs w:val="22"/>
        </w:rPr>
        <w:t>-</w:t>
      </w:r>
      <w:r w:rsidR="00123504" w:rsidRPr="009341C5">
        <w:rPr>
          <w:rFonts w:ascii="Aptos" w:hAnsi="Aptos"/>
          <w:sz w:val="22"/>
          <w:szCs w:val="22"/>
        </w:rPr>
        <w:t>standing</w:t>
      </w:r>
      <w:r w:rsidR="0041761F" w:rsidRPr="009341C5">
        <w:rPr>
          <w:rFonts w:ascii="Aptos" w:hAnsi="Aptos"/>
          <w:sz w:val="22"/>
          <w:szCs w:val="22"/>
        </w:rPr>
        <w:t xml:space="preserve"> program. </w:t>
      </w:r>
      <w:r w:rsidR="00A5568F" w:rsidRPr="009341C5">
        <w:rPr>
          <w:rFonts w:ascii="Aptos" w:hAnsi="Aptos"/>
          <w:sz w:val="22"/>
          <w:szCs w:val="22"/>
        </w:rPr>
        <w:t>Removing or combining the</w:t>
      </w:r>
      <w:r w:rsidR="00D424CF" w:rsidRPr="009341C5">
        <w:rPr>
          <w:rFonts w:ascii="Aptos" w:hAnsi="Aptos"/>
          <w:sz w:val="22"/>
          <w:szCs w:val="22"/>
        </w:rPr>
        <w:t xml:space="preserve">se large regional </w:t>
      </w:r>
      <w:r w:rsidR="00A5568F" w:rsidRPr="009341C5">
        <w:rPr>
          <w:rFonts w:ascii="Aptos" w:hAnsi="Aptos"/>
          <w:sz w:val="22"/>
          <w:szCs w:val="22"/>
        </w:rPr>
        <w:t xml:space="preserve">programs </w:t>
      </w:r>
      <w:r w:rsidR="00783649" w:rsidRPr="009341C5">
        <w:rPr>
          <w:rFonts w:ascii="Aptos" w:hAnsi="Aptos"/>
          <w:sz w:val="22"/>
          <w:szCs w:val="22"/>
        </w:rPr>
        <w:t>risks</w:t>
      </w:r>
      <w:r w:rsidR="00A5568F" w:rsidRPr="009341C5">
        <w:rPr>
          <w:rFonts w:ascii="Aptos" w:hAnsi="Aptos"/>
          <w:sz w:val="22"/>
          <w:szCs w:val="22"/>
        </w:rPr>
        <w:t xml:space="preserve"> </w:t>
      </w:r>
      <w:r w:rsidR="00DA2A29" w:rsidRPr="009341C5">
        <w:rPr>
          <w:rFonts w:ascii="Aptos" w:hAnsi="Aptos"/>
          <w:sz w:val="22"/>
          <w:szCs w:val="22"/>
        </w:rPr>
        <w:t>undermin</w:t>
      </w:r>
      <w:r w:rsidR="00783649" w:rsidRPr="009341C5">
        <w:rPr>
          <w:rFonts w:ascii="Aptos" w:hAnsi="Aptos"/>
          <w:sz w:val="22"/>
          <w:szCs w:val="22"/>
        </w:rPr>
        <w:t>ing</w:t>
      </w:r>
      <w:r w:rsidR="00A5568F" w:rsidRPr="009341C5">
        <w:rPr>
          <w:rFonts w:ascii="Aptos" w:hAnsi="Aptos"/>
          <w:sz w:val="22"/>
          <w:szCs w:val="22"/>
        </w:rPr>
        <w:t xml:space="preserve"> this.</w:t>
      </w:r>
    </w:p>
    <w:p w14:paraId="08C99F54" w14:textId="08FEBBB3" w:rsidR="007B483F" w:rsidRPr="009341C5" w:rsidRDefault="007D180D" w:rsidP="00CA6B36">
      <w:pPr>
        <w:pStyle w:val="ListParagraph"/>
        <w:numPr>
          <w:ilvl w:val="0"/>
          <w:numId w:val="2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The programs collaborate and complement each other</w:t>
      </w:r>
      <w:r w:rsidRPr="009341C5">
        <w:rPr>
          <w:rFonts w:ascii="Aptos" w:hAnsi="Aptos"/>
          <w:sz w:val="22"/>
          <w:szCs w:val="22"/>
        </w:rPr>
        <w:t xml:space="preserve">: </w:t>
      </w:r>
      <w:r w:rsidR="00CA6B36" w:rsidRPr="009341C5">
        <w:rPr>
          <w:rFonts w:ascii="Aptos" w:hAnsi="Aptos"/>
          <w:sz w:val="22"/>
          <w:szCs w:val="22"/>
        </w:rPr>
        <w:t>The final section of this document shows how the programs have started to collaborate.</w:t>
      </w:r>
    </w:p>
    <w:p w14:paraId="0C03BBA7" w14:textId="77777777" w:rsidR="009341C5" w:rsidRDefault="009341C5">
      <w:pPr>
        <w:rPr>
          <w:rFonts w:ascii="Aptos" w:eastAsiaTheme="majorEastAsia" w:hAnsi="Aptos" w:cstheme="majorBidi"/>
          <w:color w:val="0F4761" w:themeColor="accent1" w:themeShade="BF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03CAA965" w14:textId="4B8A1991" w:rsidR="007B483F" w:rsidRPr="009341C5" w:rsidRDefault="007B483F" w:rsidP="00D37CFC">
      <w:pPr>
        <w:pStyle w:val="Heading3"/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lastRenderedPageBreak/>
        <w:t>What are the key differences and synergies between the programs?</w:t>
      </w:r>
    </w:p>
    <w:p w14:paraId="16D42890" w14:textId="6CC18016" w:rsidR="00D37CFC" w:rsidRPr="009341C5" w:rsidRDefault="00D37CFC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The table below provides a brief, simplified overview of the program separation and overlap.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1733"/>
        <w:gridCol w:w="3224"/>
        <w:gridCol w:w="4252"/>
      </w:tblGrid>
      <w:tr w:rsidR="004742B4" w:rsidRPr="009341C5" w14:paraId="58F3A52D" w14:textId="4E686232" w:rsidTr="799F8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33" w:type="dxa"/>
          </w:tcPr>
          <w:p w14:paraId="364EB759" w14:textId="4D6313CB" w:rsidR="004742B4" w:rsidRPr="009341C5" w:rsidRDefault="004742B4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Area</w:t>
            </w:r>
          </w:p>
        </w:tc>
        <w:tc>
          <w:tcPr>
            <w:tcW w:w="3224" w:type="dxa"/>
          </w:tcPr>
          <w:p w14:paraId="38B023A1" w14:textId="3506487A" w:rsidR="004742B4" w:rsidRPr="009341C5" w:rsidRDefault="00474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WRP</w:t>
            </w:r>
          </w:p>
        </w:tc>
        <w:tc>
          <w:tcPr>
            <w:tcW w:w="4252" w:type="dxa"/>
          </w:tcPr>
          <w:p w14:paraId="158BF9CC" w14:textId="3B61957F" w:rsidR="004742B4" w:rsidRPr="009341C5" w:rsidRDefault="00474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COSPPac</w:t>
            </w:r>
          </w:p>
        </w:tc>
      </w:tr>
      <w:tr w:rsidR="004742B4" w:rsidRPr="009341C5" w14:paraId="46C13671" w14:textId="70CD52B4" w:rsidTr="799F8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7A83C0BB" w14:textId="47E15296" w:rsidR="004742B4" w:rsidRPr="009341C5" w:rsidRDefault="004742B4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Key audience</w:t>
            </w:r>
          </w:p>
        </w:tc>
        <w:tc>
          <w:tcPr>
            <w:tcW w:w="3224" w:type="dxa"/>
          </w:tcPr>
          <w:p w14:paraId="0FD603FA" w14:textId="77777777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Met Services</w:t>
            </w:r>
          </w:p>
          <w:p w14:paraId="1545B36C" w14:textId="328542E1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NMDOs</w:t>
            </w:r>
          </w:p>
        </w:tc>
        <w:tc>
          <w:tcPr>
            <w:tcW w:w="4252" w:type="dxa"/>
          </w:tcPr>
          <w:p w14:paraId="17EC1683" w14:textId="77777777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Met Services</w:t>
            </w:r>
          </w:p>
          <w:p w14:paraId="0FEAC6E5" w14:textId="064F4726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Land and Survey Departments</w:t>
            </w:r>
          </w:p>
        </w:tc>
      </w:tr>
      <w:tr w:rsidR="004742B4" w:rsidRPr="009341C5" w14:paraId="10463D29" w14:textId="643E0061" w:rsidTr="799F82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5DC2253D" w14:textId="5764C152" w:rsidR="004742B4" w:rsidRPr="009341C5" w:rsidRDefault="004742B4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Products and services</w:t>
            </w:r>
          </w:p>
        </w:tc>
        <w:tc>
          <w:tcPr>
            <w:tcW w:w="3224" w:type="dxa"/>
          </w:tcPr>
          <w:p w14:paraId="7937F90E" w14:textId="02E8A797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Weather services (timescale: minutes to one week).</w:t>
            </w:r>
          </w:p>
        </w:tc>
        <w:tc>
          <w:tcPr>
            <w:tcW w:w="4252" w:type="dxa"/>
          </w:tcPr>
          <w:p w14:paraId="39A17A3C" w14:textId="1FC7EB66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Climate and ocean services (timescale: weeks to years)</w:t>
            </w:r>
          </w:p>
        </w:tc>
      </w:tr>
      <w:tr w:rsidR="004742B4" w:rsidRPr="009341C5" w14:paraId="5DA54E40" w14:textId="5EC59614" w:rsidTr="799F8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71A51A78" w14:textId="48E6E05E" w:rsidR="004742B4" w:rsidRPr="009341C5" w:rsidRDefault="004742B4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Infrastructure &amp; tools</w:t>
            </w:r>
          </w:p>
        </w:tc>
        <w:tc>
          <w:tcPr>
            <w:tcW w:w="3224" w:type="dxa"/>
          </w:tcPr>
          <w:p w14:paraId="6624DF94" w14:textId="212526A9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AWS, RADARs, wave buoys</w:t>
            </w:r>
          </w:p>
        </w:tc>
        <w:tc>
          <w:tcPr>
            <w:tcW w:w="4252" w:type="dxa"/>
          </w:tcPr>
          <w:p w14:paraId="5D1B784C" w14:textId="61F7EBD8" w:rsidR="004742B4" w:rsidRPr="009341C5" w:rsidRDefault="00474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GNSS stations, tide gauges.</w:t>
            </w:r>
          </w:p>
        </w:tc>
      </w:tr>
      <w:tr w:rsidR="004742B4" w:rsidRPr="009341C5" w14:paraId="004F2759" w14:textId="4812D0F5" w:rsidTr="799F82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29B7E4C3" w14:textId="0C3839E3" w:rsidR="004742B4" w:rsidRPr="009341C5" w:rsidRDefault="004742B4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Capacity building</w:t>
            </w:r>
          </w:p>
        </w:tc>
        <w:tc>
          <w:tcPr>
            <w:tcW w:w="3224" w:type="dxa"/>
          </w:tcPr>
          <w:p w14:paraId="0EBBE62D" w14:textId="77777777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Weather forecasting and observation</w:t>
            </w:r>
          </w:p>
          <w:p w14:paraId="67F007E8" w14:textId="5CFCA96B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GEDSI, Comms, ICT, MEL and leadership</w:t>
            </w:r>
          </w:p>
        </w:tc>
        <w:tc>
          <w:tcPr>
            <w:tcW w:w="4252" w:type="dxa"/>
          </w:tcPr>
          <w:p w14:paraId="73B39549" w14:textId="3DAB9DBF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Climate, ocean, and geospatial science</w:t>
            </w:r>
          </w:p>
          <w:p w14:paraId="14E71036" w14:textId="24E4AC52" w:rsidR="004742B4" w:rsidRPr="009341C5" w:rsidRDefault="00474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GEDSI, Comms, ICT, MEL and leadership</w:t>
            </w:r>
          </w:p>
        </w:tc>
      </w:tr>
      <w:tr w:rsidR="003004D7" w:rsidRPr="009341C5" w14:paraId="0A0EF3AC" w14:textId="77777777" w:rsidTr="799F8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0176AFB6" w14:textId="6E8D6D85" w:rsidR="003004D7" w:rsidRPr="009341C5" w:rsidRDefault="003004D7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Pacific beneficiaries</w:t>
            </w:r>
          </w:p>
        </w:tc>
        <w:tc>
          <w:tcPr>
            <w:tcW w:w="3224" w:type="dxa"/>
          </w:tcPr>
          <w:p w14:paraId="413F90B7" w14:textId="4F97E50D" w:rsidR="003004D7" w:rsidRPr="009341C5" w:rsidRDefault="00300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Aviation, transport</w:t>
            </w:r>
            <w:r w:rsidR="00F25CDB" w:rsidRPr="009341C5">
              <w:rPr>
                <w:rFonts w:ascii="Aptos" w:hAnsi="Aptos"/>
                <w:sz w:val="22"/>
                <w:szCs w:val="22"/>
              </w:rPr>
              <w:t xml:space="preserve">, </w:t>
            </w:r>
            <w:r w:rsidR="00437D40" w:rsidRPr="009341C5">
              <w:rPr>
                <w:rFonts w:ascii="Aptos" w:hAnsi="Aptos"/>
                <w:sz w:val="22"/>
                <w:szCs w:val="22"/>
              </w:rPr>
              <w:t xml:space="preserve">disaster management, </w:t>
            </w:r>
            <w:r w:rsidR="00F32FEF" w:rsidRPr="009341C5">
              <w:rPr>
                <w:rFonts w:ascii="Aptos" w:hAnsi="Aptos"/>
                <w:sz w:val="22"/>
                <w:szCs w:val="22"/>
              </w:rPr>
              <w:t xml:space="preserve">and </w:t>
            </w:r>
            <w:proofErr w:type="gramStart"/>
            <w:r w:rsidR="00F25CDB" w:rsidRPr="009341C5">
              <w:rPr>
                <w:rFonts w:ascii="Aptos" w:hAnsi="Aptos"/>
                <w:sz w:val="22"/>
                <w:szCs w:val="22"/>
              </w:rPr>
              <w:t>general public</w:t>
            </w:r>
            <w:proofErr w:type="gramEnd"/>
            <w:r w:rsidR="00F32FEF" w:rsidRPr="009341C5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1117CFAA" w14:textId="423F7290" w:rsidR="003004D7" w:rsidRPr="009341C5" w:rsidRDefault="14D14A96" w:rsidP="00F32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General Public, water</w:t>
            </w:r>
            <w:r w:rsidR="1CEF1CA3" w:rsidRPr="009341C5">
              <w:rPr>
                <w:rFonts w:ascii="Aptos" w:hAnsi="Aptos"/>
                <w:sz w:val="22"/>
                <w:szCs w:val="22"/>
              </w:rPr>
              <w:t xml:space="preserve">, energy, disaster management, </w:t>
            </w:r>
            <w:r w:rsidR="2962F6AF" w:rsidRPr="009341C5">
              <w:rPr>
                <w:rFonts w:ascii="Aptos" w:hAnsi="Aptos"/>
                <w:sz w:val="22"/>
                <w:szCs w:val="22"/>
              </w:rPr>
              <w:t>construction, agriculture,</w:t>
            </w:r>
            <w:r w:rsidR="42DB3E40" w:rsidRPr="009341C5">
              <w:rPr>
                <w:rFonts w:ascii="Aptos" w:hAnsi="Aptos"/>
                <w:sz w:val="22"/>
                <w:szCs w:val="22"/>
              </w:rPr>
              <w:t xml:space="preserve"> maritime and fisheries, </w:t>
            </w:r>
            <w:r w:rsidR="45DA756B" w:rsidRPr="009341C5">
              <w:rPr>
                <w:rFonts w:ascii="Aptos" w:hAnsi="Aptos"/>
                <w:sz w:val="22"/>
                <w:szCs w:val="22"/>
              </w:rPr>
              <w:t xml:space="preserve">climate adaptation, </w:t>
            </w:r>
            <w:r w:rsidRPr="009341C5">
              <w:rPr>
                <w:rFonts w:ascii="Aptos" w:hAnsi="Aptos"/>
                <w:sz w:val="22"/>
                <w:szCs w:val="22"/>
              </w:rPr>
              <w:t xml:space="preserve">national </w:t>
            </w:r>
            <w:proofErr w:type="gramStart"/>
            <w:r w:rsidRPr="009341C5">
              <w:rPr>
                <w:rFonts w:ascii="Aptos" w:hAnsi="Aptos"/>
                <w:sz w:val="22"/>
                <w:szCs w:val="22"/>
              </w:rPr>
              <w:t xml:space="preserve">planning  </w:t>
            </w:r>
            <w:r w:rsidR="45DA756B" w:rsidRPr="009341C5">
              <w:rPr>
                <w:rFonts w:ascii="Aptos" w:hAnsi="Aptos"/>
                <w:sz w:val="22"/>
                <w:szCs w:val="22"/>
              </w:rPr>
              <w:t>academia</w:t>
            </w:r>
            <w:proofErr w:type="gramEnd"/>
            <w:r w:rsidR="45DA756B" w:rsidRPr="009341C5">
              <w:rPr>
                <w:rFonts w:ascii="Aptos" w:hAnsi="Aptos"/>
                <w:sz w:val="22"/>
                <w:szCs w:val="22"/>
              </w:rPr>
              <w:t xml:space="preserve"> and </w:t>
            </w:r>
            <w:r w:rsidR="05D8D4BA" w:rsidRPr="009341C5">
              <w:rPr>
                <w:rFonts w:ascii="Aptos" w:hAnsi="Aptos"/>
                <w:sz w:val="22"/>
                <w:szCs w:val="22"/>
              </w:rPr>
              <w:t>IPCC reporting</w:t>
            </w:r>
            <w:r w:rsidR="45DA756B" w:rsidRPr="009341C5">
              <w:rPr>
                <w:rFonts w:ascii="Aptos" w:hAnsi="Aptos"/>
                <w:sz w:val="22"/>
                <w:szCs w:val="22"/>
              </w:rPr>
              <w:t>.</w:t>
            </w:r>
            <w:r w:rsidR="1CEF1CA3" w:rsidRPr="009341C5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3E9F8DC7" w14:textId="7765FD71" w:rsidR="003004D7" w:rsidRPr="009341C5" w:rsidRDefault="003004D7" w:rsidP="00F32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742B4" w:rsidRPr="009341C5" w14:paraId="0ADBB36D" w14:textId="263412E2" w:rsidTr="799F82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3C911A6C" w14:textId="77777777" w:rsidR="004742B4" w:rsidRPr="009341C5" w:rsidRDefault="004742B4" w:rsidP="0094594F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Governance</w:t>
            </w:r>
          </w:p>
        </w:tc>
        <w:tc>
          <w:tcPr>
            <w:tcW w:w="3224" w:type="dxa"/>
          </w:tcPr>
          <w:p w14:paraId="4FA200D9" w14:textId="29AB2325" w:rsidR="004742B4" w:rsidRPr="009341C5" w:rsidRDefault="004742B4" w:rsidP="009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20 Met Services from SPREP member countries and territories</w:t>
            </w:r>
          </w:p>
          <w:p w14:paraId="08F4DDEE" w14:textId="6D8C8AB9" w:rsidR="004742B4" w:rsidRPr="009341C5" w:rsidRDefault="004742B4" w:rsidP="009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NDMO, Hydrology, geohazard, implementing partners and donors</w:t>
            </w:r>
          </w:p>
        </w:tc>
        <w:tc>
          <w:tcPr>
            <w:tcW w:w="4252" w:type="dxa"/>
          </w:tcPr>
          <w:p w14:paraId="720EB83C" w14:textId="77777777" w:rsidR="004742B4" w:rsidRPr="009341C5" w:rsidRDefault="004742B4" w:rsidP="009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15 Met Services</w:t>
            </w:r>
          </w:p>
          <w:p w14:paraId="36C52312" w14:textId="2FADF438" w:rsidR="004742B4" w:rsidRPr="009341C5" w:rsidRDefault="004742B4" w:rsidP="009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Land and Survey Departments, PDF, implementing partners and donors</w:t>
            </w:r>
          </w:p>
        </w:tc>
      </w:tr>
      <w:tr w:rsidR="004742B4" w:rsidRPr="009341C5" w14:paraId="4EA86111" w14:textId="77777777" w:rsidTr="799F8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3" w:type="dxa"/>
          </w:tcPr>
          <w:p w14:paraId="03EA3CF1" w14:textId="0F988477" w:rsidR="004742B4" w:rsidRPr="009341C5" w:rsidRDefault="004742B4" w:rsidP="0094594F">
            <w:pPr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History and funders</w:t>
            </w:r>
          </w:p>
        </w:tc>
        <w:tc>
          <w:tcPr>
            <w:tcW w:w="3224" w:type="dxa"/>
          </w:tcPr>
          <w:p w14:paraId="3BE67A81" w14:textId="286E9C54" w:rsidR="004742B4" w:rsidRPr="009341C5" w:rsidRDefault="004742B4" w:rsidP="009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 xml:space="preserve">New </w:t>
            </w:r>
            <w:r w:rsidR="00307B9F" w:rsidRPr="009341C5">
              <w:rPr>
                <w:rFonts w:ascii="Aptos" w:hAnsi="Aptos"/>
                <w:sz w:val="22"/>
                <w:szCs w:val="22"/>
              </w:rPr>
              <w:t xml:space="preserve">transformative </w:t>
            </w:r>
            <w:r w:rsidRPr="009341C5">
              <w:rPr>
                <w:rFonts w:ascii="Aptos" w:hAnsi="Aptos"/>
                <w:sz w:val="22"/>
                <w:szCs w:val="22"/>
              </w:rPr>
              <w:t>10-year program</w:t>
            </w:r>
          </w:p>
          <w:p w14:paraId="7EEE13C2" w14:textId="32A84E16" w:rsidR="004742B4" w:rsidRPr="009341C5" w:rsidRDefault="004742B4" w:rsidP="009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Pooled funding from DFAT, MFAT, UK WISER, ADB and growing</w:t>
            </w:r>
          </w:p>
        </w:tc>
        <w:tc>
          <w:tcPr>
            <w:tcW w:w="4252" w:type="dxa"/>
          </w:tcPr>
          <w:p w14:paraId="0B0F1F4F" w14:textId="5845A482" w:rsidR="004742B4" w:rsidRPr="009341C5" w:rsidRDefault="004742B4" w:rsidP="009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 xml:space="preserve">35-year </w:t>
            </w:r>
            <w:r w:rsidR="00307B9F" w:rsidRPr="009341C5">
              <w:rPr>
                <w:rFonts w:ascii="Aptos" w:hAnsi="Aptos"/>
                <w:sz w:val="22"/>
                <w:szCs w:val="22"/>
              </w:rPr>
              <w:t xml:space="preserve">established </w:t>
            </w:r>
            <w:r w:rsidRPr="009341C5">
              <w:rPr>
                <w:rFonts w:ascii="Aptos" w:hAnsi="Aptos"/>
                <w:sz w:val="22"/>
                <w:szCs w:val="22"/>
              </w:rPr>
              <w:t xml:space="preserve">program over successive </w:t>
            </w:r>
            <w:r w:rsidR="00842B57" w:rsidRPr="009341C5">
              <w:rPr>
                <w:rFonts w:ascii="Aptos" w:hAnsi="Aptos"/>
                <w:sz w:val="22"/>
                <w:szCs w:val="22"/>
              </w:rPr>
              <w:t>iterations</w:t>
            </w:r>
            <w:r w:rsidR="00034A12" w:rsidRPr="009341C5">
              <w:rPr>
                <w:rFonts w:ascii="Aptos" w:hAnsi="Aptos"/>
                <w:sz w:val="22"/>
                <w:szCs w:val="22"/>
              </w:rPr>
              <w:t>.</w:t>
            </w:r>
          </w:p>
          <w:p w14:paraId="0E78E2FB" w14:textId="108BB564" w:rsidR="004742B4" w:rsidRPr="009341C5" w:rsidRDefault="004742B4" w:rsidP="0047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9341C5">
              <w:rPr>
                <w:rFonts w:ascii="Aptos" w:hAnsi="Aptos"/>
                <w:sz w:val="22"/>
                <w:szCs w:val="22"/>
              </w:rPr>
              <w:t>DFAT and MFAT funded</w:t>
            </w:r>
          </w:p>
        </w:tc>
      </w:tr>
    </w:tbl>
    <w:p w14:paraId="3E4E66BA" w14:textId="0E0717CB" w:rsidR="00842B57" w:rsidRPr="009341C5" w:rsidRDefault="00842B57" w:rsidP="7D39AFA1">
      <w:pPr>
        <w:rPr>
          <w:rFonts w:ascii="Aptos" w:hAnsi="Aptos"/>
          <w:sz w:val="22"/>
          <w:szCs w:val="22"/>
        </w:rPr>
      </w:pPr>
    </w:p>
    <w:p w14:paraId="26035C54" w14:textId="7D89DC0A" w:rsidR="00ED1E87" w:rsidRPr="009341C5" w:rsidRDefault="00ED1E87" w:rsidP="7D39AFA1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 xml:space="preserve">Partners have collaborated in cross-cutting areas (communications, GEDSI, MERL), tools, traditional knowledge, funding for Met Service activities and Science Communications officer roles, asset management, capacity development, </w:t>
      </w:r>
      <w:r w:rsidR="007C038E" w:rsidRPr="009341C5">
        <w:rPr>
          <w:rFonts w:ascii="Aptos" w:hAnsi="Aptos"/>
          <w:sz w:val="22"/>
          <w:szCs w:val="22"/>
        </w:rPr>
        <w:t xml:space="preserve">governance meetings, </w:t>
      </w:r>
      <w:r w:rsidRPr="009341C5">
        <w:rPr>
          <w:rFonts w:ascii="Aptos" w:hAnsi="Aptos"/>
          <w:sz w:val="22"/>
          <w:szCs w:val="22"/>
        </w:rPr>
        <w:t>and support to PMC and COP. See the Annex for further information.</w:t>
      </w:r>
    </w:p>
    <w:p w14:paraId="28A0100C" w14:textId="262AD2BF" w:rsidR="00ED1E87" w:rsidRPr="009341C5" w:rsidRDefault="00ED1E87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br w:type="page"/>
      </w:r>
    </w:p>
    <w:p w14:paraId="147F807F" w14:textId="2B891DFE" w:rsidR="7D39AFA1" w:rsidRPr="009341C5" w:rsidRDefault="7D39AFA1" w:rsidP="7D39AFA1">
      <w:pPr>
        <w:pStyle w:val="Heading3"/>
        <w:rPr>
          <w:rFonts w:ascii="Aptos" w:hAnsi="Aptos"/>
          <w:sz w:val="22"/>
          <w:szCs w:val="22"/>
        </w:rPr>
      </w:pPr>
    </w:p>
    <w:p w14:paraId="167860ED" w14:textId="50B7BACB" w:rsidR="00ED1E87" w:rsidRPr="009341C5" w:rsidRDefault="00ED1E87" w:rsidP="00ED1E87">
      <w:pPr>
        <w:pStyle w:val="Heading3"/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In what ways will the two programs collaborate moving forwards?</w:t>
      </w:r>
    </w:p>
    <w:p w14:paraId="446EBE5F" w14:textId="4AB64BBF" w:rsidR="00D37CFC" w:rsidRPr="009341C5" w:rsidRDefault="00D37CFC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 xml:space="preserve">Partners </w:t>
      </w:r>
      <w:r w:rsidR="00B11606" w:rsidRPr="009341C5">
        <w:rPr>
          <w:rFonts w:ascii="Aptos" w:hAnsi="Aptos"/>
          <w:sz w:val="22"/>
          <w:szCs w:val="22"/>
        </w:rPr>
        <w:t xml:space="preserve">have </w:t>
      </w:r>
      <w:r w:rsidRPr="009341C5">
        <w:rPr>
          <w:rFonts w:ascii="Aptos" w:hAnsi="Aptos"/>
          <w:sz w:val="22"/>
          <w:szCs w:val="22"/>
        </w:rPr>
        <w:t>collaborate</w:t>
      </w:r>
      <w:r w:rsidR="00B11606" w:rsidRPr="009341C5">
        <w:rPr>
          <w:rFonts w:ascii="Aptos" w:hAnsi="Aptos"/>
          <w:sz w:val="22"/>
          <w:szCs w:val="22"/>
        </w:rPr>
        <w:t>d</w:t>
      </w:r>
      <w:r w:rsidRPr="009341C5">
        <w:rPr>
          <w:rFonts w:ascii="Aptos" w:hAnsi="Aptos"/>
          <w:sz w:val="22"/>
          <w:szCs w:val="22"/>
        </w:rPr>
        <w:t xml:space="preserve"> in the following areas:</w:t>
      </w:r>
    </w:p>
    <w:p w14:paraId="1D16EF2D" w14:textId="04507D9A" w:rsidR="00D37CFC" w:rsidRPr="009341C5" w:rsidRDefault="00D37CFC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Cross-cutting</w:t>
      </w:r>
      <w:r w:rsidR="00A42D9C" w:rsidRPr="009341C5">
        <w:rPr>
          <w:rFonts w:ascii="Aptos" w:hAnsi="Aptos"/>
          <w:b/>
          <w:bCs/>
          <w:sz w:val="22"/>
          <w:szCs w:val="22"/>
        </w:rPr>
        <w:t xml:space="preserve"> (Comms, GEDSI, MERL)</w:t>
      </w:r>
      <w:r w:rsidR="00A42D9C" w:rsidRPr="009341C5">
        <w:rPr>
          <w:rFonts w:ascii="Aptos" w:hAnsi="Aptos"/>
          <w:sz w:val="22"/>
          <w:szCs w:val="22"/>
        </w:rPr>
        <w:t xml:space="preserve">: </w:t>
      </w:r>
      <w:r w:rsidR="00A12844" w:rsidRPr="009341C5">
        <w:rPr>
          <w:rFonts w:ascii="Aptos" w:hAnsi="Aptos"/>
          <w:sz w:val="22"/>
          <w:szCs w:val="22"/>
        </w:rPr>
        <w:t>Both</w:t>
      </w:r>
      <w:r w:rsidR="00A42D9C" w:rsidRPr="009341C5">
        <w:rPr>
          <w:rFonts w:ascii="Aptos" w:hAnsi="Aptos"/>
          <w:sz w:val="22"/>
          <w:szCs w:val="22"/>
        </w:rPr>
        <w:t xml:space="preserve"> cross-cutting teams will collaborate in training and support to reduce duplication</w:t>
      </w:r>
      <w:r w:rsidR="00A12844" w:rsidRPr="009341C5">
        <w:rPr>
          <w:rFonts w:ascii="Aptos" w:hAnsi="Aptos"/>
          <w:sz w:val="22"/>
          <w:szCs w:val="22"/>
        </w:rPr>
        <w:t>,</w:t>
      </w:r>
      <w:r w:rsidR="00A42D9C" w:rsidRPr="009341C5">
        <w:rPr>
          <w:rFonts w:ascii="Aptos" w:hAnsi="Aptos"/>
          <w:sz w:val="22"/>
          <w:szCs w:val="22"/>
        </w:rPr>
        <w:t xml:space="preserve"> share lessons</w:t>
      </w:r>
      <w:r w:rsidR="00A12844" w:rsidRPr="009341C5">
        <w:rPr>
          <w:rFonts w:ascii="Aptos" w:hAnsi="Aptos"/>
          <w:sz w:val="22"/>
          <w:szCs w:val="22"/>
        </w:rPr>
        <w:t>, and inform regional alignment through the next PIMS</w:t>
      </w:r>
      <w:r w:rsidR="00A42D9C" w:rsidRPr="009341C5">
        <w:rPr>
          <w:rFonts w:ascii="Aptos" w:hAnsi="Aptos"/>
          <w:sz w:val="22"/>
          <w:szCs w:val="22"/>
        </w:rPr>
        <w:t>.</w:t>
      </w:r>
    </w:p>
    <w:p w14:paraId="086840E2" w14:textId="7B447F83" w:rsidR="00A42D9C" w:rsidRPr="009341C5" w:rsidRDefault="283B0A29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Tools</w:t>
      </w:r>
      <w:r w:rsidRPr="009341C5">
        <w:rPr>
          <w:rFonts w:ascii="Aptos" w:hAnsi="Aptos"/>
          <w:sz w:val="22"/>
          <w:szCs w:val="22"/>
        </w:rPr>
        <w:t xml:space="preserve">: WRP </w:t>
      </w:r>
      <w:r w:rsidR="00B11606" w:rsidRPr="009341C5">
        <w:rPr>
          <w:rFonts w:ascii="Aptos" w:hAnsi="Aptos"/>
          <w:sz w:val="22"/>
          <w:szCs w:val="22"/>
        </w:rPr>
        <w:t>may</w:t>
      </w:r>
      <w:r w:rsidRPr="009341C5">
        <w:rPr>
          <w:rFonts w:ascii="Aptos" w:hAnsi="Aptos"/>
          <w:sz w:val="22"/>
          <w:szCs w:val="22"/>
        </w:rPr>
        <w:t xml:space="preserve"> draw on </w:t>
      </w:r>
      <w:r w:rsidR="00B11606" w:rsidRPr="009341C5">
        <w:rPr>
          <w:rFonts w:ascii="Aptos" w:hAnsi="Aptos"/>
          <w:sz w:val="22"/>
          <w:szCs w:val="22"/>
        </w:rPr>
        <w:t xml:space="preserve">COSPPac tools including </w:t>
      </w:r>
      <w:r w:rsidRPr="009341C5">
        <w:rPr>
          <w:rFonts w:ascii="Aptos" w:hAnsi="Aptos"/>
          <w:sz w:val="22"/>
          <w:szCs w:val="22"/>
        </w:rPr>
        <w:t xml:space="preserve">CliDE. </w:t>
      </w:r>
    </w:p>
    <w:p w14:paraId="0826D88E" w14:textId="326921BC" w:rsidR="00A42D9C" w:rsidRPr="009341C5" w:rsidRDefault="00A42D9C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Traditional Knowledge (TK)</w:t>
      </w:r>
      <w:r w:rsidRPr="009341C5">
        <w:rPr>
          <w:rFonts w:ascii="Aptos" w:hAnsi="Aptos"/>
          <w:sz w:val="22"/>
          <w:szCs w:val="22"/>
        </w:rPr>
        <w:t>: both programs will support the TK project, with WRP to build on the foundations set by COSPPac.</w:t>
      </w:r>
    </w:p>
    <w:p w14:paraId="703066BC" w14:textId="551BF901" w:rsidR="00A42D9C" w:rsidRPr="009341C5" w:rsidRDefault="283B0A29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Micro funding for NMHS</w:t>
      </w:r>
      <w:r w:rsidRPr="009341C5">
        <w:rPr>
          <w:rFonts w:ascii="Aptos" w:hAnsi="Aptos"/>
          <w:sz w:val="22"/>
          <w:szCs w:val="22"/>
        </w:rPr>
        <w:t xml:space="preserve">: coordinate and support the COSPPac Flexi Fund and WRP Readiness fund. </w:t>
      </w:r>
    </w:p>
    <w:p w14:paraId="5EC29E89" w14:textId="223DB463" w:rsidR="00A42D9C" w:rsidRPr="009341C5" w:rsidRDefault="283B0A29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NMHS Science and Community Communications</w:t>
      </w:r>
      <w:r w:rsidRPr="009341C5">
        <w:rPr>
          <w:rFonts w:ascii="Aptos" w:hAnsi="Aptos"/>
          <w:sz w:val="22"/>
          <w:szCs w:val="22"/>
        </w:rPr>
        <w:t xml:space="preserve"> </w:t>
      </w:r>
      <w:proofErr w:type="gramStart"/>
      <w:r w:rsidRPr="009341C5">
        <w:rPr>
          <w:rFonts w:ascii="Aptos" w:hAnsi="Aptos"/>
          <w:sz w:val="22"/>
          <w:szCs w:val="22"/>
        </w:rPr>
        <w:t>-  COSPPac</w:t>
      </w:r>
      <w:proofErr w:type="gramEnd"/>
      <w:r w:rsidRPr="009341C5">
        <w:rPr>
          <w:rFonts w:ascii="Aptos" w:hAnsi="Aptos"/>
          <w:sz w:val="22"/>
          <w:szCs w:val="22"/>
        </w:rPr>
        <w:t>-funded Communications Officers can assist NMHSs in delivering effective impact based forecasts and warnings which is an outcome under WRP.</w:t>
      </w:r>
    </w:p>
    <w:p w14:paraId="260C9583" w14:textId="5AD016AE" w:rsidR="00A42D9C" w:rsidRPr="009341C5" w:rsidRDefault="283B0A29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Asset management</w:t>
      </w:r>
      <w:r w:rsidRPr="009341C5">
        <w:rPr>
          <w:rFonts w:ascii="Aptos" w:hAnsi="Aptos"/>
          <w:sz w:val="22"/>
          <w:szCs w:val="22"/>
        </w:rPr>
        <w:t>: WRP will establish standardised asset management framework for the pacific region including roll out ofasset management information system software, which the COSPPac team will pilot and leverage.</w:t>
      </w:r>
    </w:p>
    <w:p w14:paraId="72334A94" w14:textId="3F3CAAF1" w:rsidR="283B0A29" w:rsidRPr="009341C5" w:rsidRDefault="283B0A29" w:rsidP="283B0A29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NMHS Infrastructure and ICT systems</w:t>
      </w:r>
      <w:r w:rsidRPr="009341C5">
        <w:rPr>
          <w:rFonts w:ascii="Aptos" w:hAnsi="Aptos"/>
          <w:sz w:val="22"/>
          <w:szCs w:val="22"/>
        </w:rPr>
        <w:t xml:space="preserve">: WRP is leading the establishment of the regional approach and architecture and RIC,  </w:t>
      </w:r>
    </w:p>
    <w:p w14:paraId="134800B7" w14:textId="5F02E13F" w:rsidR="00A42D9C" w:rsidRPr="009341C5" w:rsidRDefault="283B0A29" w:rsidP="00A42D9C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>Capacity development</w:t>
      </w:r>
      <w:r w:rsidRPr="009341C5">
        <w:rPr>
          <w:rFonts w:ascii="Aptos" w:hAnsi="Aptos"/>
          <w:sz w:val="22"/>
          <w:szCs w:val="22"/>
        </w:rPr>
        <w:t>: programs will coordinate a shared training calendar and align capacity assessments.</w:t>
      </w:r>
    </w:p>
    <w:p w14:paraId="2480C070" w14:textId="0863DF83" w:rsidR="283B0A29" w:rsidRPr="009341C5" w:rsidRDefault="283B0A29" w:rsidP="283B0A29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 xml:space="preserve">Sustainability: </w:t>
      </w:r>
      <w:r w:rsidRPr="009341C5">
        <w:rPr>
          <w:rFonts w:ascii="Aptos" w:hAnsi="Aptos"/>
          <w:sz w:val="22"/>
          <w:szCs w:val="22"/>
        </w:rPr>
        <w:t>WRP is establishing financing facility for infrastructure maintenance and sustainability framework, and this can be leveraged by COSPPac infrastructure in the future.</w:t>
      </w:r>
    </w:p>
    <w:p w14:paraId="6652E4B9" w14:textId="13824BEB" w:rsidR="002C05E7" w:rsidRPr="009341C5" w:rsidRDefault="00A42D9C" w:rsidP="00F402EB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b/>
          <w:bCs/>
          <w:sz w:val="22"/>
          <w:szCs w:val="22"/>
        </w:rPr>
        <w:t xml:space="preserve">Support to </w:t>
      </w:r>
      <w:r w:rsidR="002C05E7" w:rsidRPr="009341C5">
        <w:rPr>
          <w:rFonts w:ascii="Aptos" w:hAnsi="Aptos"/>
          <w:b/>
          <w:bCs/>
          <w:sz w:val="22"/>
          <w:szCs w:val="22"/>
        </w:rPr>
        <w:t xml:space="preserve">PMC and </w:t>
      </w:r>
      <w:r w:rsidRPr="009341C5">
        <w:rPr>
          <w:rFonts w:ascii="Aptos" w:hAnsi="Aptos"/>
          <w:b/>
          <w:bCs/>
          <w:sz w:val="22"/>
          <w:szCs w:val="22"/>
        </w:rPr>
        <w:t>COP</w:t>
      </w:r>
      <w:r w:rsidRPr="009341C5">
        <w:rPr>
          <w:rFonts w:ascii="Aptos" w:hAnsi="Aptos"/>
          <w:sz w:val="22"/>
          <w:szCs w:val="22"/>
        </w:rPr>
        <w:t>: co-develop communications materials in preparation for COP-31</w:t>
      </w:r>
      <w:r w:rsidR="002C05E7" w:rsidRPr="009341C5">
        <w:rPr>
          <w:rFonts w:ascii="Aptos" w:hAnsi="Aptos"/>
          <w:sz w:val="22"/>
          <w:szCs w:val="22"/>
        </w:rPr>
        <w:t xml:space="preserve">, and joint support to PMC panels and the upcoming </w:t>
      </w:r>
      <w:r w:rsidR="00F402EB" w:rsidRPr="009341C5">
        <w:rPr>
          <w:rFonts w:ascii="Aptos" w:hAnsi="Aptos"/>
          <w:sz w:val="22"/>
          <w:szCs w:val="22"/>
        </w:rPr>
        <w:t>PMC-8</w:t>
      </w:r>
      <w:r w:rsidRPr="009341C5">
        <w:rPr>
          <w:rFonts w:ascii="Aptos" w:hAnsi="Aptos"/>
          <w:sz w:val="22"/>
          <w:szCs w:val="22"/>
        </w:rPr>
        <w:t>.</w:t>
      </w:r>
    </w:p>
    <w:p w14:paraId="5BE00592" w14:textId="77777777" w:rsidR="00ED1E87" w:rsidRPr="009341C5" w:rsidRDefault="00A42D9C" w:rsidP="7D39AFA1">
      <w:pPr>
        <w:rPr>
          <w:rFonts w:ascii="Aptos" w:hAnsi="Aptos"/>
          <w:sz w:val="22"/>
          <w:szCs w:val="22"/>
        </w:rPr>
      </w:pPr>
      <w:r w:rsidRPr="009341C5">
        <w:rPr>
          <w:rFonts w:ascii="Aptos" w:hAnsi="Aptos"/>
          <w:sz w:val="22"/>
          <w:szCs w:val="22"/>
        </w:rPr>
        <w:t>This list builds on existing collaboration between the two programs, including back-to-back Steering Committee meetings.</w:t>
      </w:r>
    </w:p>
    <w:p w14:paraId="71F8A70A" w14:textId="530B77D4" w:rsidR="00ED1E87" w:rsidRPr="009341C5" w:rsidRDefault="00ED1E87" w:rsidP="7D39AFA1">
      <w:pPr>
        <w:rPr>
          <w:rFonts w:ascii="Aptos" w:hAnsi="Aptos"/>
          <w:sz w:val="22"/>
          <w:szCs w:val="22"/>
        </w:rPr>
      </w:pPr>
    </w:p>
    <w:p w14:paraId="58359EF5" w14:textId="29F23E38" w:rsidR="00CB265D" w:rsidRPr="009341C5" w:rsidRDefault="000044EF" w:rsidP="7D39AFA1">
      <w:pPr>
        <w:rPr>
          <w:rFonts w:ascii="Aptos" w:hAnsi="Aptos"/>
          <w:i/>
          <w:iCs/>
          <w:sz w:val="22"/>
          <w:szCs w:val="22"/>
        </w:rPr>
      </w:pPr>
      <w:r w:rsidRPr="009341C5">
        <w:rPr>
          <w:rFonts w:ascii="Aptos" w:hAnsi="Aptos"/>
          <w:i/>
          <w:iCs/>
          <w:sz w:val="22"/>
          <w:szCs w:val="22"/>
        </w:rPr>
        <w:t>Version 0.</w:t>
      </w:r>
      <w:r w:rsidR="004742B4" w:rsidRPr="009341C5">
        <w:rPr>
          <w:rFonts w:ascii="Aptos" w:hAnsi="Aptos"/>
          <w:i/>
          <w:iCs/>
          <w:sz w:val="22"/>
          <w:szCs w:val="22"/>
        </w:rPr>
        <w:t>6</w:t>
      </w:r>
      <w:r w:rsidRPr="009341C5">
        <w:rPr>
          <w:rFonts w:ascii="Aptos" w:hAnsi="Aptos"/>
          <w:i/>
          <w:iCs/>
          <w:sz w:val="22"/>
          <w:szCs w:val="22"/>
        </w:rPr>
        <w:t xml:space="preserve"> – </w:t>
      </w:r>
      <w:r w:rsidR="004742B4" w:rsidRPr="009341C5">
        <w:rPr>
          <w:rFonts w:ascii="Aptos" w:hAnsi="Aptos"/>
          <w:i/>
          <w:iCs/>
          <w:sz w:val="22"/>
          <w:szCs w:val="22"/>
        </w:rPr>
        <w:t>31</w:t>
      </w:r>
      <w:r w:rsidRPr="009341C5">
        <w:rPr>
          <w:rFonts w:ascii="Aptos" w:hAnsi="Aptos"/>
          <w:i/>
          <w:iCs/>
          <w:sz w:val="22"/>
          <w:szCs w:val="22"/>
        </w:rPr>
        <w:t xml:space="preserve"> </w:t>
      </w:r>
      <w:r w:rsidR="004742B4" w:rsidRPr="009341C5">
        <w:rPr>
          <w:rFonts w:ascii="Aptos" w:hAnsi="Aptos"/>
          <w:i/>
          <w:iCs/>
          <w:sz w:val="22"/>
          <w:szCs w:val="22"/>
        </w:rPr>
        <w:t xml:space="preserve">March </w:t>
      </w:r>
      <w:r w:rsidRPr="009341C5">
        <w:rPr>
          <w:rFonts w:ascii="Aptos" w:hAnsi="Aptos"/>
          <w:i/>
          <w:iCs/>
          <w:sz w:val="22"/>
          <w:szCs w:val="22"/>
        </w:rPr>
        <w:t>2026</w:t>
      </w:r>
    </w:p>
    <w:sectPr w:rsidR="00CB265D" w:rsidRPr="009341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AE3A" w14:textId="77777777" w:rsidR="00FB226F" w:rsidRDefault="00FB226F" w:rsidP="0092600F">
      <w:pPr>
        <w:spacing w:after="0" w:line="240" w:lineRule="auto"/>
      </w:pPr>
      <w:r>
        <w:separator/>
      </w:r>
    </w:p>
  </w:endnote>
  <w:endnote w:type="continuationSeparator" w:id="0">
    <w:p w14:paraId="7C16D597" w14:textId="77777777" w:rsidR="00FB226F" w:rsidRDefault="00FB226F" w:rsidP="0092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542C" w14:textId="77777777" w:rsidR="0092600F" w:rsidRDefault="009260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3FA05C" w14:paraId="57342B17" w14:textId="77777777" w:rsidTr="173FA05C">
      <w:trPr>
        <w:trHeight w:val="300"/>
      </w:trPr>
      <w:tc>
        <w:tcPr>
          <w:tcW w:w="3005" w:type="dxa"/>
        </w:tcPr>
        <w:p w14:paraId="16D9D2CB" w14:textId="2613248F" w:rsidR="173FA05C" w:rsidRDefault="173FA05C" w:rsidP="173FA05C">
          <w:pPr>
            <w:ind w:left="-115"/>
          </w:pPr>
        </w:p>
      </w:tc>
      <w:tc>
        <w:tcPr>
          <w:tcW w:w="3005" w:type="dxa"/>
        </w:tcPr>
        <w:p w14:paraId="3F649BCF" w14:textId="45E8E356" w:rsidR="173FA05C" w:rsidRDefault="173FA05C" w:rsidP="173FA05C">
          <w:pPr>
            <w:jc w:val="center"/>
          </w:pPr>
        </w:p>
      </w:tc>
      <w:tc>
        <w:tcPr>
          <w:tcW w:w="3005" w:type="dxa"/>
        </w:tcPr>
        <w:p w14:paraId="357E096B" w14:textId="67282CF0" w:rsidR="173FA05C" w:rsidRDefault="173FA05C" w:rsidP="173FA05C">
          <w:pPr>
            <w:ind w:right="-115"/>
            <w:jc w:val="right"/>
          </w:pPr>
        </w:p>
      </w:tc>
    </w:tr>
  </w:tbl>
  <w:p w14:paraId="617AAC0B" w14:textId="110D23FB" w:rsidR="0092600F" w:rsidRDefault="009260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C91C" w14:textId="77777777" w:rsidR="0092600F" w:rsidRDefault="009260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A0EF" w14:textId="77777777" w:rsidR="00FB226F" w:rsidRDefault="00FB226F" w:rsidP="0092600F">
      <w:pPr>
        <w:spacing w:after="0" w:line="240" w:lineRule="auto"/>
      </w:pPr>
      <w:r>
        <w:separator/>
      </w:r>
    </w:p>
  </w:footnote>
  <w:footnote w:type="continuationSeparator" w:id="0">
    <w:p w14:paraId="06330DC4" w14:textId="77777777" w:rsidR="00FB226F" w:rsidRDefault="00FB226F" w:rsidP="0092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8A80" w14:textId="77777777" w:rsidR="0092600F" w:rsidRDefault="009260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060D" w14:textId="33976E4B" w:rsidR="0092600F" w:rsidRDefault="004E2166">
    <w:r>
      <w:rPr>
        <w:noProof/>
      </w:rPr>
      <w:drawing>
        <wp:anchor distT="0" distB="0" distL="114300" distR="114300" simplePos="0" relativeHeight="251658241" behindDoc="1" locked="1" layoutInCell="1" allowOverlap="1" wp14:anchorId="4A6FAECA" wp14:editId="51C21352">
          <wp:simplePos x="0" y="0"/>
          <wp:positionH relativeFrom="margin">
            <wp:posOffset>3536950</wp:posOffset>
          </wp:positionH>
          <wp:positionV relativeFrom="topMargin">
            <wp:posOffset>26670</wp:posOffset>
          </wp:positionV>
          <wp:extent cx="1828800" cy="770255"/>
          <wp:effectExtent l="0" t="0" r="0" b="0"/>
          <wp:wrapNone/>
          <wp:docPr id="8578802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880279" name="Picture 8578802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58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5BEAB48A" wp14:editId="610EF36E">
          <wp:simplePos x="0" y="0"/>
          <wp:positionH relativeFrom="page">
            <wp:posOffset>1343660</wp:posOffset>
          </wp:positionH>
          <wp:positionV relativeFrom="topMargin">
            <wp:posOffset>48895</wp:posOffset>
          </wp:positionV>
          <wp:extent cx="1896745" cy="716280"/>
          <wp:effectExtent l="0" t="0" r="8255" b="7620"/>
          <wp:wrapNone/>
          <wp:docPr id="8021833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83380" name="Picture 80218338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2" t="26681" r="6962" b="27423"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9369" w14:textId="77777777" w:rsidR="0092600F" w:rsidRDefault="009260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CE0"/>
    <w:multiLevelType w:val="hybridMultilevel"/>
    <w:tmpl w:val="F1FCDE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40D5"/>
    <w:multiLevelType w:val="hybridMultilevel"/>
    <w:tmpl w:val="F2D45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11457">
    <w:abstractNumId w:val="1"/>
  </w:num>
  <w:num w:numId="2" w16cid:durableId="9500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4C"/>
    <w:rsid w:val="000043C0"/>
    <w:rsid w:val="000044EF"/>
    <w:rsid w:val="000168D3"/>
    <w:rsid w:val="0002424B"/>
    <w:rsid w:val="00025BED"/>
    <w:rsid w:val="00027666"/>
    <w:rsid w:val="00034A12"/>
    <w:rsid w:val="000438E4"/>
    <w:rsid w:val="00043999"/>
    <w:rsid w:val="00045057"/>
    <w:rsid w:val="0004796D"/>
    <w:rsid w:val="0006500F"/>
    <w:rsid w:val="00071CC8"/>
    <w:rsid w:val="00087A53"/>
    <w:rsid w:val="0009224F"/>
    <w:rsid w:val="000C0538"/>
    <w:rsid w:val="000E0085"/>
    <w:rsid w:val="000E7905"/>
    <w:rsid w:val="000F658C"/>
    <w:rsid w:val="00114814"/>
    <w:rsid w:val="001228CA"/>
    <w:rsid w:val="00123504"/>
    <w:rsid w:val="001239EB"/>
    <w:rsid w:val="00134F8E"/>
    <w:rsid w:val="00142AFB"/>
    <w:rsid w:val="00147F26"/>
    <w:rsid w:val="00182A24"/>
    <w:rsid w:val="001A6BBD"/>
    <w:rsid w:val="001C26EC"/>
    <w:rsid w:val="001C302C"/>
    <w:rsid w:val="001D47BB"/>
    <w:rsid w:val="001F31B8"/>
    <w:rsid w:val="00205AD0"/>
    <w:rsid w:val="00226C2A"/>
    <w:rsid w:val="00235F4C"/>
    <w:rsid w:val="00237D31"/>
    <w:rsid w:val="00247638"/>
    <w:rsid w:val="00281DBD"/>
    <w:rsid w:val="00287110"/>
    <w:rsid w:val="00296BE6"/>
    <w:rsid w:val="002C05E7"/>
    <w:rsid w:val="002C13BE"/>
    <w:rsid w:val="002E7159"/>
    <w:rsid w:val="003004D7"/>
    <w:rsid w:val="0030316E"/>
    <w:rsid w:val="00307B9F"/>
    <w:rsid w:val="003151D6"/>
    <w:rsid w:val="00320448"/>
    <w:rsid w:val="00324CE6"/>
    <w:rsid w:val="00333367"/>
    <w:rsid w:val="003472E8"/>
    <w:rsid w:val="00353BF3"/>
    <w:rsid w:val="003566F2"/>
    <w:rsid w:val="00373BFF"/>
    <w:rsid w:val="003770FF"/>
    <w:rsid w:val="003C0E80"/>
    <w:rsid w:val="003C656A"/>
    <w:rsid w:val="0041761F"/>
    <w:rsid w:val="00435273"/>
    <w:rsid w:val="00437D40"/>
    <w:rsid w:val="0044526C"/>
    <w:rsid w:val="0046785D"/>
    <w:rsid w:val="00470D4F"/>
    <w:rsid w:val="00472ACC"/>
    <w:rsid w:val="004742B4"/>
    <w:rsid w:val="0049004F"/>
    <w:rsid w:val="004A6BE9"/>
    <w:rsid w:val="004C01FB"/>
    <w:rsid w:val="004D1AE9"/>
    <w:rsid w:val="004E2166"/>
    <w:rsid w:val="005031E7"/>
    <w:rsid w:val="00510D8C"/>
    <w:rsid w:val="00527BAA"/>
    <w:rsid w:val="00533C8B"/>
    <w:rsid w:val="00534920"/>
    <w:rsid w:val="00540557"/>
    <w:rsid w:val="005461B4"/>
    <w:rsid w:val="00561E67"/>
    <w:rsid w:val="00583003"/>
    <w:rsid w:val="00597FA8"/>
    <w:rsid w:val="005B168D"/>
    <w:rsid w:val="005B7EF3"/>
    <w:rsid w:val="005C2E79"/>
    <w:rsid w:val="005E411B"/>
    <w:rsid w:val="005F0DD7"/>
    <w:rsid w:val="00603899"/>
    <w:rsid w:val="006123AC"/>
    <w:rsid w:val="00634690"/>
    <w:rsid w:val="00652C77"/>
    <w:rsid w:val="0065411A"/>
    <w:rsid w:val="00683FE8"/>
    <w:rsid w:val="00696293"/>
    <w:rsid w:val="006A312A"/>
    <w:rsid w:val="006C405E"/>
    <w:rsid w:val="007010C8"/>
    <w:rsid w:val="00715F22"/>
    <w:rsid w:val="00763B75"/>
    <w:rsid w:val="00783649"/>
    <w:rsid w:val="00794C8B"/>
    <w:rsid w:val="007A3322"/>
    <w:rsid w:val="007B483F"/>
    <w:rsid w:val="007C038E"/>
    <w:rsid w:val="007C0862"/>
    <w:rsid w:val="007C68A1"/>
    <w:rsid w:val="007D180D"/>
    <w:rsid w:val="007D377D"/>
    <w:rsid w:val="007E4A69"/>
    <w:rsid w:val="007F64B0"/>
    <w:rsid w:val="008151BC"/>
    <w:rsid w:val="00837D98"/>
    <w:rsid w:val="00842B57"/>
    <w:rsid w:val="0084663F"/>
    <w:rsid w:val="00864336"/>
    <w:rsid w:val="008757C7"/>
    <w:rsid w:val="00877C79"/>
    <w:rsid w:val="0089281E"/>
    <w:rsid w:val="008929A2"/>
    <w:rsid w:val="008A6E16"/>
    <w:rsid w:val="008B43F4"/>
    <w:rsid w:val="008D05A3"/>
    <w:rsid w:val="008D349B"/>
    <w:rsid w:val="009121A2"/>
    <w:rsid w:val="00914B0F"/>
    <w:rsid w:val="0092600F"/>
    <w:rsid w:val="00930BBB"/>
    <w:rsid w:val="009341C5"/>
    <w:rsid w:val="00941AC9"/>
    <w:rsid w:val="00944A12"/>
    <w:rsid w:val="0094568E"/>
    <w:rsid w:val="0094594F"/>
    <w:rsid w:val="009733AC"/>
    <w:rsid w:val="00983D0A"/>
    <w:rsid w:val="00990A0E"/>
    <w:rsid w:val="00993090"/>
    <w:rsid w:val="009978CF"/>
    <w:rsid w:val="009A01E2"/>
    <w:rsid w:val="009A0586"/>
    <w:rsid w:val="009A100B"/>
    <w:rsid w:val="009F0A2A"/>
    <w:rsid w:val="00A0054A"/>
    <w:rsid w:val="00A12844"/>
    <w:rsid w:val="00A21944"/>
    <w:rsid w:val="00A34D8A"/>
    <w:rsid w:val="00A42D9C"/>
    <w:rsid w:val="00A5568F"/>
    <w:rsid w:val="00A562A5"/>
    <w:rsid w:val="00A66B6E"/>
    <w:rsid w:val="00A8356A"/>
    <w:rsid w:val="00A8561D"/>
    <w:rsid w:val="00A862BA"/>
    <w:rsid w:val="00AB53AD"/>
    <w:rsid w:val="00AC284C"/>
    <w:rsid w:val="00AC5790"/>
    <w:rsid w:val="00AC6F3D"/>
    <w:rsid w:val="00AF13DD"/>
    <w:rsid w:val="00B040D5"/>
    <w:rsid w:val="00B11606"/>
    <w:rsid w:val="00B11E50"/>
    <w:rsid w:val="00B2382D"/>
    <w:rsid w:val="00B36273"/>
    <w:rsid w:val="00B36F79"/>
    <w:rsid w:val="00B73A4D"/>
    <w:rsid w:val="00B82592"/>
    <w:rsid w:val="00BA2B40"/>
    <w:rsid w:val="00BC5F10"/>
    <w:rsid w:val="00BD5C80"/>
    <w:rsid w:val="00C0660C"/>
    <w:rsid w:val="00C159AA"/>
    <w:rsid w:val="00C41311"/>
    <w:rsid w:val="00C444EF"/>
    <w:rsid w:val="00C4650E"/>
    <w:rsid w:val="00C51E6F"/>
    <w:rsid w:val="00C64036"/>
    <w:rsid w:val="00C71EB8"/>
    <w:rsid w:val="00C82F39"/>
    <w:rsid w:val="00C93F06"/>
    <w:rsid w:val="00CA6B36"/>
    <w:rsid w:val="00CB0B9E"/>
    <w:rsid w:val="00CB265D"/>
    <w:rsid w:val="00CB7D2B"/>
    <w:rsid w:val="00CE34C1"/>
    <w:rsid w:val="00CF0E02"/>
    <w:rsid w:val="00CF46B2"/>
    <w:rsid w:val="00CF6853"/>
    <w:rsid w:val="00D121F3"/>
    <w:rsid w:val="00D14284"/>
    <w:rsid w:val="00D26232"/>
    <w:rsid w:val="00D33752"/>
    <w:rsid w:val="00D37CFC"/>
    <w:rsid w:val="00D424CF"/>
    <w:rsid w:val="00D6694F"/>
    <w:rsid w:val="00D7641E"/>
    <w:rsid w:val="00D83655"/>
    <w:rsid w:val="00D8440C"/>
    <w:rsid w:val="00D856AB"/>
    <w:rsid w:val="00D913D1"/>
    <w:rsid w:val="00D92169"/>
    <w:rsid w:val="00D926B1"/>
    <w:rsid w:val="00D9714F"/>
    <w:rsid w:val="00DA2A29"/>
    <w:rsid w:val="00DA4BF3"/>
    <w:rsid w:val="00E061B4"/>
    <w:rsid w:val="00E32E6B"/>
    <w:rsid w:val="00E33F68"/>
    <w:rsid w:val="00E34745"/>
    <w:rsid w:val="00E57AC4"/>
    <w:rsid w:val="00E75906"/>
    <w:rsid w:val="00E8570E"/>
    <w:rsid w:val="00E96518"/>
    <w:rsid w:val="00EB3F72"/>
    <w:rsid w:val="00EC5055"/>
    <w:rsid w:val="00ED1E87"/>
    <w:rsid w:val="00EE3458"/>
    <w:rsid w:val="00EE78F5"/>
    <w:rsid w:val="00EF06CA"/>
    <w:rsid w:val="00EF2910"/>
    <w:rsid w:val="00F039DC"/>
    <w:rsid w:val="00F03DA4"/>
    <w:rsid w:val="00F25165"/>
    <w:rsid w:val="00F25CDB"/>
    <w:rsid w:val="00F26961"/>
    <w:rsid w:val="00F30290"/>
    <w:rsid w:val="00F32FEF"/>
    <w:rsid w:val="00F402EB"/>
    <w:rsid w:val="00F63EC4"/>
    <w:rsid w:val="00F675A7"/>
    <w:rsid w:val="00F77595"/>
    <w:rsid w:val="00F945F8"/>
    <w:rsid w:val="00F95D35"/>
    <w:rsid w:val="00FA0183"/>
    <w:rsid w:val="00FA1AF8"/>
    <w:rsid w:val="00FA769E"/>
    <w:rsid w:val="00FB226F"/>
    <w:rsid w:val="00FB4B08"/>
    <w:rsid w:val="00FB5451"/>
    <w:rsid w:val="00FD0E74"/>
    <w:rsid w:val="00FD1714"/>
    <w:rsid w:val="00FD7FF1"/>
    <w:rsid w:val="0425C7D3"/>
    <w:rsid w:val="05D8D4BA"/>
    <w:rsid w:val="066FBDAE"/>
    <w:rsid w:val="0C99CEDE"/>
    <w:rsid w:val="10488789"/>
    <w:rsid w:val="10B945CE"/>
    <w:rsid w:val="13D1911F"/>
    <w:rsid w:val="144EEDE7"/>
    <w:rsid w:val="14D14A96"/>
    <w:rsid w:val="1593C23E"/>
    <w:rsid w:val="16E5CF4D"/>
    <w:rsid w:val="173FA05C"/>
    <w:rsid w:val="19B24890"/>
    <w:rsid w:val="1A9CB8EE"/>
    <w:rsid w:val="1B286FB4"/>
    <w:rsid w:val="1CB3A763"/>
    <w:rsid w:val="1CEF1CA3"/>
    <w:rsid w:val="20F556AD"/>
    <w:rsid w:val="25A6A80E"/>
    <w:rsid w:val="283B0A29"/>
    <w:rsid w:val="2962F6AF"/>
    <w:rsid w:val="2A26AA5E"/>
    <w:rsid w:val="2EE9EA9F"/>
    <w:rsid w:val="317094D7"/>
    <w:rsid w:val="3374A4DA"/>
    <w:rsid w:val="35129612"/>
    <w:rsid w:val="35761E71"/>
    <w:rsid w:val="3ADACD7E"/>
    <w:rsid w:val="3B737A1B"/>
    <w:rsid w:val="40FCFD54"/>
    <w:rsid w:val="42A9EA18"/>
    <w:rsid w:val="42DB3E40"/>
    <w:rsid w:val="45DA756B"/>
    <w:rsid w:val="49930F33"/>
    <w:rsid w:val="4D1288B6"/>
    <w:rsid w:val="4DA160A1"/>
    <w:rsid w:val="4DE6D1F4"/>
    <w:rsid w:val="4F1F873C"/>
    <w:rsid w:val="5485BA1D"/>
    <w:rsid w:val="54A0DADA"/>
    <w:rsid w:val="57E7FC04"/>
    <w:rsid w:val="586F4540"/>
    <w:rsid w:val="5E5F7CEC"/>
    <w:rsid w:val="6042FE8F"/>
    <w:rsid w:val="6405A9C7"/>
    <w:rsid w:val="67D46F52"/>
    <w:rsid w:val="699AA72F"/>
    <w:rsid w:val="6DEBAB4C"/>
    <w:rsid w:val="6DF55060"/>
    <w:rsid w:val="702FB03A"/>
    <w:rsid w:val="709883BE"/>
    <w:rsid w:val="71D50380"/>
    <w:rsid w:val="72E58DB5"/>
    <w:rsid w:val="76589622"/>
    <w:rsid w:val="799F82A1"/>
    <w:rsid w:val="7D39A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30E0"/>
  <w15:chartTrackingRefBased/>
  <w15:docId w15:val="{6415A30A-BFB1-4BA4-B086-1671DE0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5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5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5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F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D37CFC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21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A2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B40"/>
  </w:style>
  <w:style w:type="paragraph" w:styleId="Footer">
    <w:name w:val="footer"/>
    <w:basedOn w:val="Normal"/>
    <w:link w:val="FooterChar"/>
    <w:uiPriority w:val="99"/>
    <w:semiHidden/>
    <w:unhideWhenUsed/>
    <w:rsid w:val="00BA2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379e0-c8fe-4c72-bd8d-06eab88b1c4d">
      <Terms xmlns="http://schemas.microsoft.com/office/infopath/2007/PartnerControls"/>
    </lcf76f155ced4ddcb4097134ff3c332f>
    <TaxCatchAll xmlns="4600bc44-2015-4da8-875d-07b815e12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FA138-D00D-414E-83F8-E3A7F6087C75}">
  <ds:schemaRefs>
    <ds:schemaRef ds:uri="http://schemas.microsoft.com/office/2006/metadata/properties"/>
    <ds:schemaRef ds:uri="http://schemas.microsoft.com/office/infopath/2007/PartnerControls"/>
    <ds:schemaRef ds:uri="5c9379e0-c8fe-4c72-bd8d-06eab88b1c4d"/>
    <ds:schemaRef ds:uri="4600bc44-2015-4da8-875d-07b815e122b5"/>
  </ds:schemaRefs>
</ds:datastoreItem>
</file>

<file path=customXml/itemProps2.xml><?xml version="1.0" encoding="utf-8"?>
<ds:datastoreItem xmlns:ds="http://schemas.openxmlformats.org/officeDocument/2006/customXml" ds:itemID="{FFE79808-49D0-4243-BF4D-F917C8239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BF58C-B7AC-452A-89D4-1192E33F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Hawkes</dc:creator>
  <cp:keywords/>
  <dc:description/>
  <cp:lastModifiedBy>'Ofa Fa'anunu</cp:lastModifiedBy>
  <cp:revision>70</cp:revision>
  <dcterms:created xsi:type="dcterms:W3CDTF">2026-02-17T21:29:00Z</dcterms:created>
  <dcterms:modified xsi:type="dcterms:W3CDTF">2026-05-22T06:19:00Z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151600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