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A103C" w:rsidR="0090213F" w:rsidRDefault="00D27F37" w14:paraId="645AA652" w14:textId="11E3609E">
      <w:pPr>
        <w:pStyle w:val="Title"/>
        <w:rPr>
          <w:rFonts w:ascii="Arial" w:hAnsi="Arial" w:cs="Arial"/>
        </w:rPr>
      </w:pPr>
      <w:r w:rsidRPr="773F6CAB" w:rsidR="00D27F37">
        <w:rPr>
          <w:rFonts w:ascii="Arial" w:hAnsi="Arial" w:cs="Arial"/>
        </w:rPr>
        <w:t>Pacific</w:t>
      </w:r>
      <w:r w:rsidRPr="773F6CAB" w:rsidR="00CF51F7">
        <w:rPr>
          <w:rFonts w:ascii="Arial" w:hAnsi="Arial" w:cs="Arial"/>
        </w:rPr>
        <w:t xml:space="preserve"> </w:t>
      </w:r>
      <w:r w:rsidRPr="773F6CAB" w:rsidR="00527A12">
        <w:rPr>
          <w:rFonts w:ascii="Arial" w:hAnsi="Arial" w:cs="Arial"/>
        </w:rPr>
        <w:t xml:space="preserve">Meteorological </w:t>
      </w:r>
      <w:r w:rsidRPr="773F6CAB" w:rsidR="3C70035E">
        <w:rPr>
          <w:rFonts w:ascii="Arial" w:hAnsi="Arial" w:cs="Arial"/>
        </w:rPr>
        <w:t>Asset</w:t>
      </w:r>
      <w:r w:rsidRPr="773F6CAB" w:rsidR="00CF51F7">
        <w:rPr>
          <w:rFonts w:ascii="Arial" w:hAnsi="Arial" w:cs="Arial"/>
        </w:rPr>
        <w:t xml:space="preserve"> Policy</w:t>
      </w:r>
      <w:r w:rsidRPr="773F6CAB" w:rsidR="17124E44">
        <w:rPr>
          <w:rFonts w:ascii="Arial" w:hAnsi="Arial" w:cs="Arial"/>
        </w:rPr>
        <w:t xml:space="preserve"> (</w:t>
      </w:r>
      <w:r w:rsidRPr="773F6CAB" w:rsidR="58121849">
        <w:rPr>
          <w:rFonts w:ascii="Arial" w:hAnsi="Arial" w:cs="Arial"/>
        </w:rPr>
        <w:t xml:space="preserve">EARLY </w:t>
      </w:r>
      <w:r w:rsidRPr="773F6CAB" w:rsidR="17124E44">
        <w:rPr>
          <w:rFonts w:ascii="Arial" w:hAnsi="Arial" w:cs="Arial"/>
        </w:rPr>
        <w:t>DRAFT FOR DISCUSSION ONLY)</w:t>
      </w:r>
    </w:p>
    <w:p w:rsidRPr="00EA103C" w:rsidR="00A40D2A" w:rsidRDefault="00CF51F7" w14:paraId="76192881" w14:textId="77777777">
      <w:pPr>
        <w:pStyle w:val="Heading1"/>
        <w:rPr>
          <w:rFonts w:ascii="Arial" w:hAnsi="Arial" w:cs="Arial"/>
        </w:rPr>
      </w:pPr>
      <w:r w:rsidRPr="00EA103C">
        <w:rPr>
          <w:rFonts w:ascii="Arial" w:hAnsi="Arial" w:cs="Arial"/>
        </w:rPr>
        <w:t>1. Purpose</w:t>
      </w:r>
    </w:p>
    <w:p w:rsidRPr="00EA103C" w:rsidR="006E44D4" w:rsidP="00A40D2A" w:rsidRDefault="006E44D4" w14:paraId="60EE1A3F" w14:textId="5EB6BEFA">
      <w:pPr>
        <w:rPr>
          <w:rFonts w:ascii="Arial" w:hAnsi="Arial" w:cs="Arial"/>
          <w:sz w:val="20"/>
          <w:szCs w:val="20"/>
        </w:rPr>
      </w:pPr>
      <w:r w:rsidRPr="0C5D670F">
        <w:rPr>
          <w:rFonts w:ascii="Arial" w:hAnsi="Arial" w:cs="Arial"/>
          <w:sz w:val="20"/>
          <w:szCs w:val="20"/>
        </w:rPr>
        <w:t xml:space="preserve">This Policy sets a shared Pacific approach to meteorological </w:t>
      </w:r>
      <w:r w:rsidRPr="0C5D670F" w:rsidR="027A7DA0">
        <w:rPr>
          <w:rFonts w:ascii="Arial" w:hAnsi="Arial" w:cs="Arial"/>
          <w:sz w:val="20"/>
          <w:szCs w:val="20"/>
        </w:rPr>
        <w:t>assets</w:t>
      </w:r>
      <w:r w:rsidRPr="0C5D670F">
        <w:rPr>
          <w:rFonts w:ascii="Arial" w:hAnsi="Arial" w:cs="Arial"/>
          <w:sz w:val="20"/>
          <w:szCs w:val="20"/>
        </w:rPr>
        <w:t xml:space="preserve">. </w:t>
      </w:r>
      <w:r w:rsidRPr="0C5D670F" w:rsidR="00273767">
        <w:rPr>
          <w:rFonts w:ascii="Arial" w:hAnsi="Arial" w:cs="Arial"/>
          <w:sz w:val="20"/>
          <w:szCs w:val="20"/>
        </w:rPr>
        <w:t xml:space="preserve">The purpose of this Policy is to make Pacific meteorological </w:t>
      </w:r>
      <w:r w:rsidRPr="0C5D670F" w:rsidR="5FDF9E41">
        <w:rPr>
          <w:rFonts w:ascii="Arial" w:hAnsi="Arial" w:cs="Arial"/>
          <w:sz w:val="20"/>
          <w:szCs w:val="20"/>
        </w:rPr>
        <w:t xml:space="preserve">assets </w:t>
      </w:r>
      <w:r w:rsidR="00612F96">
        <w:rPr>
          <w:rFonts w:ascii="Arial" w:hAnsi="Arial" w:cs="Arial"/>
          <w:sz w:val="20"/>
          <w:szCs w:val="20"/>
        </w:rPr>
        <w:t xml:space="preserve">sustainable and producing quality </w:t>
      </w:r>
      <w:r w:rsidR="00E818C9">
        <w:rPr>
          <w:rFonts w:ascii="Arial" w:hAnsi="Arial" w:cs="Arial"/>
          <w:sz w:val="20"/>
          <w:szCs w:val="20"/>
        </w:rPr>
        <w:t xml:space="preserve">multi-hazard early warning </w:t>
      </w:r>
      <w:r w:rsidR="00612F96">
        <w:rPr>
          <w:rFonts w:ascii="Arial" w:hAnsi="Arial" w:cs="Arial"/>
          <w:sz w:val="20"/>
          <w:szCs w:val="20"/>
        </w:rPr>
        <w:t>services</w:t>
      </w:r>
      <w:r w:rsidR="004C626F">
        <w:rPr>
          <w:rFonts w:ascii="Arial" w:hAnsi="Arial" w:cs="Arial"/>
          <w:sz w:val="20"/>
          <w:szCs w:val="20"/>
        </w:rPr>
        <w:t xml:space="preserve"> through uplifting asset management capability in the region.</w:t>
      </w:r>
    </w:p>
    <w:p w:rsidRPr="00EA103C" w:rsidR="0090213F" w:rsidRDefault="00CF51F7" w14:paraId="794280A9" w14:textId="5552B4C7">
      <w:pPr>
        <w:pStyle w:val="Heading1"/>
        <w:rPr>
          <w:rFonts w:ascii="Arial" w:hAnsi="Arial" w:cs="Arial"/>
        </w:rPr>
      </w:pPr>
      <w:r w:rsidRPr="00EA103C">
        <w:rPr>
          <w:rFonts w:ascii="Arial" w:hAnsi="Arial" w:cs="Arial"/>
        </w:rPr>
        <w:t>2. Scope</w:t>
      </w:r>
    </w:p>
    <w:p w:rsidRPr="00EA103C" w:rsidR="000352D9" w:rsidP="005B453E" w:rsidRDefault="00CF51F7" w14:paraId="195825A1" w14:textId="5110D2C0">
      <w:pPr>
        <w:rPr>
          <w:rFonts w:ascii="Arial" w:hAnsi="Arial" w:cs="Arial"/>
          <w:sz w:val="20"/>
          <w:szCs w:val="20"/>
        </w:rPr>
      </w:pPr>
      <w:r w:rsidRPr="0C5D670F">
        <w:rPr>
          <w:rFonts w:ascii="Arial" w:hAnsi="Arial" w:cs="Arial"/>
          <w:sz w:val="20"/>
          <w:szCs w:val="20"/>
        </w:rPr>
        <w:t>This policy applies to</w:t>
      </w:r>
      <w:r w:rsidRPr="0C5D670F" w:rsidR="005B453E">
        <w:rPr>
          <w:rFonts w:ascii="Arial" w:hAnsi="Arial" w:cs="Arial"/>
          <w:sz w:val="20"/>
          <w:szCs w:val="20"/>
        </w:rPr>
        <w:t xml:space="preserve"> </w:t>
      </w:r>
      <w:r w:rsidRPr="0C5D670F" w:rsidR="1EA1270C">
        <w:rPr>
          <w:rFonts w:ascii="Arial" w:hAnsi="Arial" w:cs="Arial"/>
          <w:b/>
          <w:bCs/>
          <w:sz w:val="20"/>
          <w:szCs w:val="20"/>
        </w:rPr>
        <w:t>Assets</w:t>
      </w:r>
      <w:r w:rsidRPr="0C5D670F" w:rsidR="76746844">
        <w:rPr>
          <w:rFonts w:ascii="Arial" w:hAnsi="Arial" w:cs="Arial"/>
          <w:b/>
          <w:bCs/>
          <w:sz w:val="20"/>
          <w:szCs w:val="20"/>
        </w:rPr>
        <w:t xml:space="preserve"> </w:t>
      </w:r>
      <w:r w:rsidRPr="0C5D670F" w:rsidR="76746844">
        <w:rPr>
          <w:rFonts w:ascii="Arial" w:hAnsi="Arial" w:cs="Arial"/>
          <w:sz w:val="20"/>
          <w:szCs w:val="20"/>
        </w:rPr>
        <w:t>owned</w:t>
      </w:r>
      <w:r w:rsidR="009805F9">
        <w:rPr>
          <w:rFonts w:ascii="Arial" w:hAnsi="Arial" w:cs="Arial"/>
          <w:sz w:val="20"/>
          <w:szCs w:val="20"/>
        </w:rPr>
        <w:t xml:space="preserve"> or leased </w:t>
      </w:r>
      <w:r w:rsidRPr="0C5D670F" w:rsidR="76746844">
        <w:rPr>
          <w:rFonts w:ascii="Arial" w:hAnsi="Arial" w:cs="Arial"/>
          <w:sz w:val="20"/>
          <w:szCs w:val="20"/>
        </w:rPr>
        <w:t>by Pacific NM</w:t>
      </w:r>
      <w:r w:rsidRPr="0C5D670F" w:rsidR="43985A15">
        <w:rPr>
          <w:rFonts w:ascii="Arial" w:hAnsi="Arial" w:cs="Arial"/>
          <w:sz w:val="20"/>
          <w:szCs w:val="20"/>
        </w:rPr>
        <w:t>H</w:t>
      </w:r>
      <w:r w:rsidRPr="0C5D670F" w:rsidR="76746844">
        <w:rPr>
          <w:rFonts w:ascii="Arial" w:hAnsi="Arial" w:cs="Arial"/>
          <w:sz w:val="20"/>
          <w:szCs w:val="20"/>
        </w:rPr>
        <w:t>Ss</w:t>
      </w:r>
      <w:r w:rsidRPr="0C5D670F" w:rsidR="00545716">
        <w:rPr>
          <w:rFonts w:ascii="Arial" w:hAnsi="Arial" w:cs="Arial"/>
          <w:sz w:val="20"/>
          <w:szCs w:val="20"/>
        </w:rPr>
        <w:t xml:space="preserve"> as</w:t>
      </w:r>
      <w:r w:rsidRPr="0C5D670F" w:rsidR="76746844">
        <w:rPr>
          <w:rFonts w:ascii="Arial" w:hAnsi="Arial" w:cs="Arial"/>
          <w:sz w:val="20"/>
          <w:szCs w:val="20"/>
        </w:rPr>
        <w:t xml:space="preserve"> listed in </w:t>
      </w:r>
      <w:r w:rsidRPr="0C5D670F" w:rsidR="00026B4F">
        <w:rPr>
          <w:rFonts w:ascii="Arial" w:hAnsi="Arial" w:cs="Arial"/>
          <w:sz w:val="20"/>
          <w:szCs w:val="20"/>
        </w:rPr>
        <w:t>Appendix</w:t>
      </w:r>
      <w:r w:rsidRPr="0C5D670F" w:rsidR="76746844">
        <w:rPr>
          <w:rFonts w:ascii="Arial" w:hAnsi="Arial" w:cs="Arial"/>
          <w:sz w:val="20"/>
          <w:szCs w:val="20"/>
        </w:rPr>
        <w:t xml:space="preserve"> A</w:t>
      </w:r>
      <w:r w:rsidRPr="0C5D670F" w:rsidR="5086822D">
        <w:rPr>
          <w:rFonts w:ascii="Arial" w:hAnsi="Arial" w:cs="Arial"/>
          <w:sz w:val="20"/>
          <w:szCs w:val="20"/>
        </w:rPr>
        <w:t>.</w:t>
      </w:r>
    </w:p>
    <w:p w:rsidRPr="00E5490E" w:rsidR="003461C0" w:rsidP="00E5490E" w:rsidRDefault="00F5405D" w14:paraId="1508FFE8" w14:textId="2CB84724">
      <w:pPr>
        <w:pStyle w:val="Heading1"/>
        <w:rPr>
          <w:rFonts w:ascii="Arial" w:hAnsi="Arial" w:eastAsia="Times New Roman" w:cs="Arial"/>
          <w:kern w:val="36"/>
        </w:rPr>
      </w:pPr>
      <w:r w:rsidRPr="00EA103C">
        <w:rPr>
          <w:rFonts w:ascii="Arial" w:hAnsi="Arial" w:eastAsia="Times New Roman" w:cs="Arial"/>
        </w:rPr>
        <w:t>3. Policy position</w:t>
      </w:r>
    </w:p>
    <w:p w:rsidR="00421743" w:rsidP="00421743" w:rsidRDefault="002E582D" w14:paraId="45AFB733" w14:textId="60AA909E">
      <w:pPr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t>1</w:t>
      </w:r>
      <w:r w:rsidR="00DB4F09">
        <w:rPr>
          <w:rFonts w:ascii="Arial" w:hAnsi="Arial" w:cs="Arial"/>
          <w:b/>
          <w:bCs/>
          <w:sz w:val="20"/>
          <w:szCs w:val="20"/>
          <w:lang w:val="en-AU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en-AU"/>
        </w:rPr>
        <w:t xml:space="preserve">A </w:t>
      </w:r>
      <w:r w:rsidR="00F624A3">
        <w:rPr>
          <w:rFonts w:ascii="Arial" w:hAnsi="Arial" w:cs="Arial"/>
          <w:b/>
          <w:bCs/>
          <w:sz w:val="20"/>
          <w:szCs w:val="20"/>
          <w:lang w:val="en-AU"/>
        </w:rPr>
        <w:t xml:space="preserve">Sustainable Financing and </w:t>
      </w:r>
      <w:r w:rsidR="00053A44">
        <w:rPr>
          <w:rFonts w:ascii="Arial" w:hAnsi="Arial" w:cs="Arial"/>
          <w:b/>
          <w:bCs/>
          <w:sz w:val="20"/>
          <w:szCs w:val="20"/>
          <w:lang w:val="en-AU"/>
        </w:rPr>
        <w:t xml:space="preserve">Asset Management Roadmap </w:t>
      </w:r>
      <w:r w:rsidR="00F624A3">
        <w:rPr>
          <w:rFonts w:ascii="Arial" w:hAnsi="Arial" w:cs="Arial"/>
          <w:b/>
          <w:bCs/>
          <w:sz w:val="20"/>
          <w:szCs w:val="20"/>
          <w:lang w:val="en-AU"/>
        </w:rPr>
        <w:t xml:space="preserve">(Appendix B) </w:t>
      </w:r>
      <w:r w:rsidR="00053A44">
        <w:rPr>
          <w:rFonts w:ascii="Arial" w:hAnsi="Arial" w:cs="Arial"/>
          <w:b/>
          <w:bCs/>
          <w:sz w:val="20"/>
          <w:szCs w:val="20"/>
          <w:lang w:val="en-AU"/>
        </w:rPr>
        <w:t xml:space="preserve">and </w:t>
      </w:r>
      <w:r w:rsidR="003670DC">
        <w:rPr>
          <w:rFonts w:ascii="Arial" w:hAnsi="Arial" w:cs="Arial"/>
          <w:b/>
          <w:bCs/>
          <w:sz w:val="20"/>
          <w:szCs w:val="20"/>
          <w:lang w:val="en-AU"/>
        </w:rPr>
        <w:t xml:space="preserve">Improvement </w:t>
      </w:r>
      <w:r w:rsidR="00053A44">
        <w:rPr>
          <w:rFonts w:ascii="Arial" w:hAnsi="Arial" w:cs="Arial"/>
          <w:b/>
          <w:bCs/>
          <w:sz w:val="20"/>
          <w:szCs w:val="20"/>
          <w:lang w:val="en-AU"/>
        </w:rPr>
        <w:t xml:space="preserve">Strategies </w:t>
      </w:r>
      <w:r w:rsidRPr="003A7B8C" w:rsidR="003670DC">
        <w:rPr>
          <w:rFonts w:ascii="Arial" w:hAnsi="Arial" w:cs="Arial"/>
          <w:sz w:val="20"/>
          <w:szCs w:val="20"/>
          <w:lang w:val="en-AU"/>
        </w:rPr>
        <w:t xml:space="preserve">for each asset </w:t>
      </w:r>
      <w:r w:rsidRPr="003A7B8C" w:rsidR="00CB279B">
        <w:rPr>
          <w:rFonts w:ascii="Arial" w:hAnsi="Arial" w:cs="Arial"/>
          <w:sz w:val="20"/>
          <w:szCs w:val="20"/>
          <w:lang w:val="en-AU"/>
        </w:rPr>
        <w:t>c</w:t>
      </w:r>
      <w:r w:rsidRPr="003A7B8C" w:rsidR="003670DC">
        <w:rPr>
          <w:rFonts w:ascii="Arial" w:hAnsi="Arial" w:cs="Arial"/>
          <w:sz w:val="20"/>
          <w:szCs w:val="20"/>
          <w:lang w:val="en-AU"/>
        </w:rPr>
        <w:t xml:space="preserve">lass </w:t>
      </w:r>
      <w:r w:rsidRPr="003A7B8C" w:rsidR="00053A44">
        <w:rPr>
          <w:rFonts w:ascii="Arial" w:hAnsi="Arial" w:cs="Arial"/>
          <w:sz w:val="20"/>
          <w:szCs w:val="20"/>
          <w:lang w:val="en-AU"/>
        </w:rPr>
        <w:t xml:space="preserve">are </w:t>
      </w:r>
      <w:r w:rsidRPr="003A7B8C" w:rsidR="00EC0928">
        <w:rPr>
          <w:rFonts w:ascii="Arial" w:hAnsi="Arial" w:cs="Arial"/>
          <w:sz w:val="20"/>
          <w:szCs w:val="20"/>
          <w:lang w:val="en-AU"/>
        </w:rPr>
        <w:t xml:space="preserve">developed and </w:t>
      </w:r>
      <w:r w:rsidRPr="003A7B8C" w:rsidR="0035418E">
        <w:rPr>
          <w:rFonts w:ascii="Arial" w:hAnsi="Arial" w:cs="Arial"/>
          <w:sz w:val="20"/>
          <w:szCs w:val="20"/>
          <w:lang w:val="en-AU"/>
        </w:rPr>
        <w:t>updated at</w:t>
      </w:r>
      <w:r w:rsidRPr="003A7B8C" w:rsidR="00522728">
        <w:rPr>
          <w:rFonts w:ascii="Arial" w:hAnsi="Arial" w:cs="Arial"/>
          <w:sz w:val="20"/>
          <w:szCs w:val="20"/>
          <w:lang w:val="en-AU"/>
        </w:rPr>
        <w:t xml:space="preserve"> </w:t>
      </w:r>
      <w:r w:rsidRPr="003A7B8C" w:rsidR="0035418E">
        <w:rPr>
          <w:rFonts w:ascii="Arial" w:hAnsi="Arial" w:cs="Arial"/>
          <w:sz w:val="20"/>
          <w:szCs w:val="20"/>
          <w:lang w:val="en-AU"/>
        </w:rPr>
        <w:t xml:space="preserve">least </w:t>
      </w:r>
      <w:r w:rsidRPr="003A7B8C" w:rsidR="00522728">
        <w:rPr>
          <w:rFonts w:ascii="Arial" w:hAnsi="Arial" w:cs="Arial"/>
          <w:sz w:val="20"/>
          <w:szCs w:val="20"/>
          <w:lang w:val="en-AU"/>
        </w:rPr>
        <w:t>every</w:t>
      </w:r>
      <w:r w:rsidRPr="003A7B8C" w:rsidR="0035418E">
        <w:rPr>
          <w:rFonts w:ascii="Arial" w:hAnsi="Arial" w:cs="Arial"/>
          <w:sz w:val="20"/>
          <w:szCs w:val="20"/>
          <w:lang w:val="en-AU"/>
        </w:rPr>
        <w:t xml:space="preserve"> 5 years,</w:t>
      </w:r>
      <w:r w:rsidRPr="003A7B8C" w:rsidR="00EC0928">
        <w:rPr>
          <w:rFonts w:ascii="Arial" w:hAnsi="Arial" w:cs="Arial"/>
          <w:sz w:val="20"/>
          <w:szCs w:val="20"/>
          <w:lang w:val="en-AU"/>
        </w:rPr>
        <w:t xml:space="preserve"> to </w:t>
      </w:r>
      <w:r w:rsidR="00903CCB">
        <w:rPr>
          <w:rFonts w:ascii="Arial" w:hAnsi="Arial" w:cs="Arial"/>
          <w:sz w:val="20"/>
          <w:szCs w:val="20"/>
          <w:lang w:val="en-AU"/>
        </w:rPr>
        <w:t>guide</w:t>
      </w:r>
      <w:r w:rsidR="00401F6F">
        <w:rPr>
          <w:rFonts w:ascii="Arial" w:hAnsi="Arial" w:cs="Arial"/>
          <w:sz w:val="20"/>
          <w:szCs w:val="20"/>
          <w:lang w:val="en-AU"/>
        </w:rPr>
        <w:t xml:space="preserve"> </w:t>
      </w:r>
      <w:r w:rsidRPr="003A7B8C" w:rsidR="00CB279B">
        <w:rPr>
          <w:rFonts w:ascii="Arial" w:hAnsi="Arial" w:cs="Arial"/>
          <w:sz w:val="20"/>
          <w:szCs w:val="20"/>
          <w:lang w:val="en-AU"/>
        </w:rPr>
        <w:t>capability</w:t>
      </w:r>
      <w:r w:rsidRPr="003A7B8C" w:rsidR="00C65CB2">
        <w:rPr>
          <w:rFonts w:ascii="Arial" w:hAnsi="Arial" w:cs="Arial"/>
          <w:sz w:val="20"/>
          <w:szCs w:val="20"/>
          <w:lang w:val="en-AU"/>
        </w:rPr>
        <w:t xml:space="preserve"> </w:t>
      </w:r>
      <w:r w:rsidR="00401F6F">
        <w:rPr>
          <w:rFonts w:ascii="Arial" w:hAnsi="Arial" w:cs="Arial"/>
          <w:sz w:val="20"/>
          <w:szCs w:val="20"/>
          <w:lang w:val="en-AU"/>
        </w:rPr>
        <w:t xml:space="preserve">uplift and </w:t>
      </w:r>
      <w:r w:rsidRPr="003A7B8C" w:rsidR="00387D54">
        <w:rPr>
          <w:rFonts w:ascii="Arial" w:hAnsi="Arial" w:cs="Arial"/>
          <w:sz w:val="20"/>
          <w:szCs w:val="20"/>
          <w:lang w:val="en-AU"/>
        </w:rPr>
        <w:t>asset</w:t>
      </w:r>
      <w:r w:rsidRPr="003461C0" w:rsidR="00387D54">
        <w:rPr>
          <w:rFonts w:ascii="Arial" w:hAnsi="Arial" w:cs="Arial"/>
          <w:sz w:val="20"/>
          <w:szCs w:val="20"/>
          <w:lang w:val="en-AU"/>
        </w:rPr>
        <w:t xml:space="preserve"> </w:t>
      </w:r>
      <w:r w:rsidRPr="003461C0" w:rsidR="00C65CB2">
        <w:rPr>
          <w:rFonts w:ascii="Arial" w:hAnsi="Arial" w:cs="Arial"/>
          <w:sz w:val="20"/>
          <w:szCs w:val="20"/>
          <w:lang w:val="en-AU"/>
        </w:rPr>
        <w:t>performance</w:t>
      </w:r>
      <w:r w:rsidRPr="003461C0" w:rsidR="00CB279B">
        <w:rPr>
          <w:rFonts w:ascii="Arial" w:hAnsi="Arial" w:cs="Arial"/>
          <w:sz w:val="20"/>
          <w:szCs w:val="20"/>
          <w:lang w:val="en-AU"/>
        </w:rPr>
        <w:t xml:space="preserve"> in the regio</w:t>
      </w:r>
      <w:r w:rsidRPr="003461C0" w:rsidR="0035418E">
        <w:rPr>
          <w:rFonts w:ascii="Arial" w:hAnsi="Arial" w:cs="Arial"/>
          <w:sz w:val="20"/>
          <w:szCs w:val="20"/>
          <w:lang w:val="en-AU"/>
        </w:rPr>
        <w:t>n.</w:t>
      </w:r>
    </w:p>
    <w:p w:rsidR="004B38DA" w:rsidP="00336276" w:rsidRDefault="003A7B8C" w14:paraId="04B53E09" w14:textId="4C5F99C6">
      <w:pPr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t>2</w:t>
      </w:r>
      <w:r w:rsidRPr="3DCC2915" w:rsidR="186202A4">
        <w:rPr>
          <w:rFonts w:ascii="Arial" w:hAnsi="Arial" w:cs="Arial"/>
          <w:b/>
          <w:bCs/>
          <w:sz w:val="20"/>
          <w:szCs w:val="20"/>
          <w:lang w:val="en-AU"/>
        </w:rPr>
        <w:t xml:space="preserve">. </w:t>
      </w:r>
      <w:r w:rsidR="00FA6376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Pr="00D744FB" w:rsidR="000968B8">
        <w:rPr>
          <w:rFonts w:ascii="Arial" w:hAnsi="Arial" w:cs="Arial"/>
          <w:b/>
          <w:bCs/>
          <w:sz w:val="20"/>
          <w:szCs w:val="20"/>
          <w:lang w:val="en-AU"/>
        </w:rPr>
        <w:t>Standardise</w:t>
      </w:r>
      <w:r w:rsidRPr="00D744FB" w:rsidR="00EC2D28">
        <w:rPr>
          <w:rFonts w:ascii="Arial" w:hAnsi="Arial" w:cs="Arial"/>
          <w:b/>
          <w:bCs/>
          <w:sz w:val="20"/>
          <w:szCs w:val="20"/>
          <w:lang w:val="en-AU"/>
        </w:rPr>
        <w:t>d</w:t>
      </w:r>
      <w:r w:rsidRPr="00D744FB" w:rsidR="000968B8">
        <w:rPr>
          <w:rFonts w:ascii="Arial" w:hAnsi="Arial" w:cs="Arial"/>
          <w:b/>
          <w:bCs/>
          <w:sz w:val="20"/>
          <w:szCs w:val="20"/>
          <w:lang w:val="en-AU"/>
        </w:rPr>
        <w:t xml:space="preserve"> regional technology</w:t>
      </w:r>
      <w:r w:rsidRPr="00D744FB" w:rsidR="00D744FB">
        <w:rPr>
          <w:rFonts w:ascii="Arial" w:hAnsi="Arial" w:cs="Arial"/>
          <w:b/>
          <w:bCs/>
          <w:sz w:val="20"/>
          <w:szCs w:val="20"/>
          <w:lang w:val="en-AU"/>
        </w:rPr>
        <w:t xml:space="preserve"> for inter-operability</w:t>
      </w:r>
      <w:r w:rsidRPr="00D744FB" w:rsidR="00D04F4C">
        <w:rPr>
          <w:rFonts w:ascii="Arial" w:hAnsi="Arial" w:cs="Arial"/>
          <w:b/>
          <w:bCs/>
          <w:sz w:val="20"/>
          <w:szCs w:val="20"/>
          <w:lang w:val="en-AU"/>
        </w:rPr>
        <w:t xml:space="preserve"> and establish preferred supplier panel contracts</w:t>
      </w:r>
      <w:r w:rsidRPr="00D744FB" w:rsidR="00CB55D1">
        <w:rPr>
          <w:rFonts w:ascii="Arial" w:hAnsi="Arial" w:cs="Arial"/>
          <w:b/>
          <w:bCs/>
          <w:sz w:val="20"/>
          <w:szCs w:val="20"/>
          <w:lang w:val="en-AU"/>
        </w:rPr>
        <w:t xml:space="preserve"> for the Pacific</w:t>
      </w:r>
      <w:r w:rsidR="00D744FB">
        <w:rPr>
          <w:rFonts w:ascii="Arial" w:hAnsi="Arial" w:cs="Arial"/>
          <w:sz w:val="20"/>
          <w:szCs w:val="20"/>
          <w:lang w:val="en-AU"/>
        </w:rPr>
        <w:t xml:space="preserve">, </w:t>
      </w:r>
      <w:r w:rsidRPr="002E582D" w:rsidR="000968B8">
        <w:rPr>
          <w:rFonts w:ascii="Arial" w:hAnsi="Arial" w:cs="Arial"/>
          <w:sz w:val="20"/>
          <w:szCs w:val="20"/>
          <w:lang w:val="en-AU"/>
        </w:rPr>
        <w:t xml:space="preserve">to </w:t>
      </w:r>
      <w:r w:rsidRPr="002E582D" w:rsidR="00A72E77">
        <w:rPr>
          <w:rFonts w:ascii="Arial" w:hAnsi="Arial" w:cs="Arial"/>
          <w:sz w:val="20"/>
          <w:szCs w:val="20"/>
          <w:lang w:val="en-AU"/>
        </w:rPr>
        <w:t>streamline sharing</w:t>
      </w:r>
      <w:r w:rsidRPr="002E582D" w:rsidR="00303E73">
        <w:rPr>
          <w:rFonts w:ascii="Arial" w:hAnsi="Arial" w:cs="Arial"/>
          <w:sz w:val="20"/>
          <w:szCs w:val="20"/>
          <w:lang w:val="en-AU"/>
        </w:rPr>
        <w:t xml:space="preserve"> </w:t>
      </w:r>
      <w:r w:rsidRPr="002E582D" w:rsidR="00CB55D1">
        <w:rPr>
          <w:rFonts w:ascii="Arial" w:hAnsi="Arial" w:cs="Arial"/>
          <w:sz w:val="20"/>
          <w:szCs w:val="20"/>
          <w:lang w:val="en-AU"/>
        </w:rPr>
        <w:t xml:space="preserve">of spares and maintenance resources, </w:t>
      </w:r>
      <w:r w:rsidRPr="002E582D" w:rsidR="00303E73">
        <w:rPr>
          <w:rFonts w:ascii="Arial" w:hAnsi="Arial" w:cs="Arial"/>
          <w:sz w:val="20"/>
          <w:szCs w:val="20"/>
          <w:lang w:val="en-AU"/>
        </w:rPr>
        <w:t>reduce cost and technical burden for countries through pooled regional solutions.</w:t>
      </w:r>
    </w:p>
    <w:p w:rsidR="005F4374" w:rsidP="005F4374" w:rsidRDefault="005F4374" w14:paraId="2C656271" w14:textId="4C080E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3DCC2915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Establish the Pacific MHEWS Asset Management Operational Fund and Investment Facility, </w:t>
      </w:r>
      <w:r w:rsidRPr="00E7121F">
        <w:rPr>
          <w:rFonts w:ascii="Arial" w:hAnsi="Arial" w:cs="Arial"/>
          <w:sz w:val="20"/>
          <w:szCs w:val="20"/>
        </w:rPr>
        <w:t xml:space="preserve">to provide sustainable long-term </w:t>
      </w:r>
      <w:r w:rsidR="005A5C6C">
        <w:rPr>
          <w:rFonts w:ascii="Arial" w:hAnsi="Arial" w:cs="Arial"/>
          <w:sz w:val="20"/>
          <w:szCs w:val="20"/>
        </w:rPr>
        <w:t xml:space="preserve">pooled </w:t>
      </w:r>
      <w:r w:rsidRPr="00E7121F">
        <w:rPr>
          <w:rFonts w:ascii="Arial" w:hAnsi="Arial" w:cs="Arial"/>
          <w:sz w:val="20"/>
          <w:szCs w:val="20"/>
        </w:rPr>
        <w:t xml:space="preserve">financing to </w:t>
      </w:r>
      <w:r>
        <w:rPr>
          <w:rFonts w:ascii="Arial" w:hAnsi="Arial" w:cs="Arial"/>
          <w:sz w:val="20"/>
          <w:szCs w:val="20"/>
        </w:rPr>
        <w:t xml:space="preserve">operate and maintain </w:t>
      </w:r>
      <w:r w:rsidRPr="00E7121F">
        <w:rPr>
          <w:rFonts w:ascii="Arial" w:hAnsi="Arial" w:cs="Arial"/>
          <w:sz w:val="20"/>
          <w:szCs w:val="20"/>
        </w:rPr>
        <w:t xml:space="preserve">critical </w:t>
      </w:r>
      <w:r>
        <w:rPr>
          <w:rFonts w:ascii="Arial" w:hAnsi="Arial" w:cs="Arial"/>
          <w:sz w:val="20"/>
          <w:szCs w:val="20"/>
        </w:rPr>
        <w:t xml:space="preserve">regional </w:t>
      </w:r>
      <w:r w:rsidRPr="00E7121F">
        <w:rPr>
          <w:rFonts w:ascii="Arial" w:hAnsi="Arial" w:cs="Arial"/>
          <w:sz w:val="20"/>
          <w:szCs w:val="20"/>
        </w:rPr>
        <w:t>assets</w:t>
      </w:r>
      <w:r>
        <w:rPr>
          <w:rFonts w:ascii="Arial" w:hAnsi="Arial" w:cs="Arial"/>
          <w:sz w:val="20"/>
          <w:szCs w:val="20"/>
        </w:rPr>
        <w:t xml:space="preserve">, </w:t>
      </w:r>
      <w:r w:rsidRPr="00E7121F">
        <w:rPr>
          <w:rFonts w:ascii="Arial" w:hAnsi="Arial" w:cs="Arial"/>
          <w:sz w:val="20"/>
          <w:szCs w:val="20"/>
        </w:rPr>
        <w:t>supplement</w:t>
      </w:r>
      <w:r>
        <w:rPr>
          <w:rFonts w:ascii="Arial" w:hAnsi="Arial" w:cs="Arial"/>
          <w:sz w:val="20"/>
          <w:szCs w:val="20"/>
        </w:rPr>
        <w:t>ing</w:t>
      </w:r>
      <w:r w:rsidRPr="00E7121F">
        <w:rPr>
          <w:rFonts w:ascii="Arial" w:hAnsi="Arial" w:cs="Arial"/>
          <w:sz w:val="20"/>
          <w:szCs w:val="20"/>
        </w:rPr>
        <w:t xml:space="preserve"> national budgets.</w:t>
      </w:r>
    </w:p>
    <w:p w:rsidRPr="00D64E09" w:rsidR="003B4D06" w:rsidP="003B4D06" w:rsidRDefault="00CA7665" w14:paraId="040BE713" w14:textId="65E4CB9C">
      <w:pPr>
        <w:rPr>
          <w:rFonts w:ascii="Arial" w:hAnsi="Arial" w:cs="Arial"/>
          <w:b w:val="1"/>
          <w:bCs w:val="1"/>
          <w:sz w:val="20"/>
          <w:szCs w:val="20"/>
          <w:lang w:val="en-AU"/>
        </w:rPr>
      </w:pPr>
      <w:r w:rsidRPr="773F6CAB" w:rsidR="00CA7665">
        <w:rPr>
          <w:rFonts w:ascii="Arial" w:hAnsi="Arial" w:cs="Arial"/>
          <w:b w:val="1"/>
          <w:bCs w:val="1"/>
          <w:sz w:val="20"/>
          <w:szCs w:val="20"/>
          <w:lang w:val="en-AU"/>
        </w:rPr>
        <w:t>4</w:t>
      </w:r>
      <w:r w:rsidRPr="773F6CAB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. </w:t>
      </w:r>
      <w:r w:rsidRPr="773F6CAB" w:rsidR="00EE7DDD">
        <w:rPr>
          <w:rFonts w:ascii="Arial" w:hAnsi="Arial" w:cs="Arial"/>
          <w:b w:val="1"/>
          <w:bCs w:val="1"/>
          <w:sz w:val="20"/>
          <w:szCs w:val="20"/>
          <w:lang w:val="en-AU"/>
        </w:rPr>
        <w:t>C</w:t>
      </w:r>
      <w:r w:rsidRPr="773F6CAB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ritical </w:t>
      </w:r>
      <w:r w:rsidRPr="773F6CAB" w:rsidR="009D0625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regional </w:t>
      </w:r>
      <w:r w:rsidRPr="773F6CAB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assets </w:t>
      </w:r>
      <w:r w:rsidRPr="773F6CAB" w:rsidR="004F1371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for MHEWS </w:t>
      </w:r>
      <w:r w:rsidRPr="773F6CAB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>are</w:t>
      </w:r>
      <w:r w:rsidRPr="773F6CAB" w:rsidR="009D0625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 agreed and</w:t>
      </w:r>
      <w:r w:rsidRPr="773F6CAB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 identified as the </w:t>
      </w:r>
      <w:r w:rsidRPr="773F6CAB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>Pacific</w:t>
      </w:r>
      <w:r w:rsidRPr="773F6CAB" w:rsidR="09D48F0C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 Regional</w:t>
      </w:r>
      <w:r w:rsidRPr="773F6CAB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 Observing Network</w:t>
      </w:r>
      <w:r w:rsidRPr="773F6CAB" w:rsidR="00E6306B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 (Appendix </w:t>
      </w:r>
      <w:r w:rsidRPr="773F6CAB" w:rsidR="007C7F71">
        <w:rPr>
          <w:rFonts w:ascii="Arial" w:hAnsi="Arial" w:cs="Arial"/>
          <w:b w:val="1"/>
          <w:bCs w:val="1"/>
          <w:sz w:val="20"/>
          <w:szCs w:val="20"/>
          <w:lang w:val="en-AU"/>
        </w:rPr>
        <w:t>C</w:t>
      </w:r>
      <w:r w:rsidRPr="773F6CAB" w:rsidR="00E6306B">
        <w:rPr>
          <w:rFonts w:ascii="Arial" w:hAnsi="Arial" w:cs="Arial"/>
          <w:b w:val="1"/>
          <w:bCs w:val="1"/>
          <w:sz w:val="20"/>
          <w:szCs w:val="20"/>
          <w:lang w:val="en-AU"/>
        </w:rPr>
        <w:t>) and is reviewed at least biennially</w:t>
      </w:r>
      <w:r w:rsidRPr="773F6CAB" w:rsidR="000636B3">
        <w:rPr>
          <w:rFonts w:ascii="Arial" w:hAnsi="Arial" w:cs="Arial"/>
          <w:b w:val="1"/>
          <w:bCs w:val="1"/>
          <w:sz w:val="20"/>
          <w:szCs w:val="20"/>
          <w:lang w:val="en-AU"/>
        </w:rPr>
        <w:t>.</w:t>
      </w:r>
      <w:r w:rsidRPr="773F6CAB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 </w:t>
      </w:r>
      <w:r w:rsidRPr="773F6CAB" w:rsidR="000636B3">
        <w:rPr>
          <w:rFonts w:ascii="Arial" w:hAnsi="Arial" w:cs="Arial"/>
          <w:sz w:val="20"/>
          <w:szCs w:val="20"/>
          <w:lang w:val="en-AU"/>
        </w:rPr>
        <w:t xml:space="preserve">This </w:t>
      </w:r>
      <w:r w:rsidRPr="773F6CAB" w:rsidR="00075831">
        <w:rPr>
          <w:rFonts w:ascii="Arial" w:hAnsi="Arial" w:cs="Arial"/>
          <w:sz w:val="20"/>
          <w:szCs w:val="20"/>
          <w:lang w:val="en-AU"/>
        </w:rPr>
        <w:t xml:space="preserve">includes </w:t>
      </w:r>
      <w:r w:rsidRPr="773F6CAB" w:rsidR="003B4D06">
        <w:rPr>
          <w:rFonts w:ascii="Arial" w:hAnsi="Arial" w:cs="Arial"/>
          <w:sz w:val="20"/>
          <w:szCs w:val="20"/>
          <w:lang w:val="en-AU"/>
        </w:rPr>
        <w:t xml:space="preserve">enabling assets </w:t>
      </w:r>
      <w:r w:rsidRPr="773F6CAB" w:rsidR="00495CBA">
        <w:rPr>
          <w:rFonts w:ascii="Arial" w:hAnsi="Arial" w:cs="Arial"/>
          <w:sz w:val="20"/>
          <w:szCs w:val="20"/>
          <w:lang w:val="en-AU"/>
        </w:rPr>
        <w:t>such as regional training centre, regional instrument centre</w:t>
      </w:r>
      <w:r w:rsidRPr="773F6CAB" w:rsidR="00790BAC">
        <w:rPr>
          <w:rFonts w:ascii="Arial" w:hAnsi="Arial" w:cs="Arial"/>
          <w:sz w:val="20"/>
          <w:szCs w:val="20"/>
          <w:lang w:val="en-AU"/>
        </w:rPr>
        <w:t xml:space="preserve">, pacific WIS2 </w:t>
      </w:r>
      <w:r w:rsidRPr="773F6CAB" w:rsidR="00F33829">
        <w:rPr>
          <w:rFonts w:ascii="Arial" w:hAnsi="Arial" w:cs="Arial"/>
          <w:sz w:val="20"/>
          <w:szCs w:val="20"/>
          <w:lang w:val="en-AU"/>
        </w:rPr>
        <w:t>node</w:t>
      </w:r>
      <w:r w:rsidRPr="773F6CAB" w:rsidR="00495CBA">
        <w:rPr>
          <w:rFonts w:ascii="Arial" w:hAnsi="Arial" w:cs="Arial"/>
          <w:sz w:val="20"/>
          <w:szCs w:val="20"/>
          <w:lang w:val="en-AU"/>
        </w:rPr>
        <w:t xml:space="preserve"> and pacific integrated forecasting platform</w:t>
      </w:r>
      <w:r w:rsidRPr="773F6CAB" w:rsidR="00075831">
        <w:rPr>
          <w:rFonts w:ascii="Arial" w:hAnsi="Arial" w:cs="Arial"/>
          <w:sz w:val="20"/>
          <w:szCs w:val="20"/>
          <w:lang w:val="en-AU"/>
        </w:rPr>
        <w:t xml:space="preserve">. </w:t>
      </w:r>
      <w:r w:rsidRPr="773F6CAB" w:rsidR="00AF7C32">
        <w:rPr>
          <w:rFonts w:ascii="Arial" w:hAnsi="Arial" w:cs="Arial"/>
          <w:sz w:val="20"/>
          <w:szCs w:val="20"/>
          <w:lang w:val="en-AU"/>
        </w:rPr>
        <w:t>GBON</w:t>
      </w:r>
      <w:r w:rsidRPr="773F6CAB" w:rsidR="005E7154">
        <w:rPr>
          <w:rFonts w:ascii="Arial" w:hAnsi="Arial" w:cs="Arial"/>
          <w:sz w:val="20"/>
          <w:szCs w:val="20"/>
          <w:lang w:val="en-AU"/>
        </w:rPr>
        <w:t xml:space="preserve"> SOFF</w:t>
      </w:r>
      <w:r w:rsidRPr="773F6CAB" w:rsidR="00AF7C32">
        <w:rPr>
          <w:rFonts w:ascii="Arial" w:hAnsi="Arial" w:cs="Arial"/>
          <w:sz w:val="20"/>
          <w:szCs w:val="20"/>
          <w:lang w:val="en-AU"/>
        </w:rPr>
        <w:t xml:space="preserve"> </w:t>
      </w:r>
      <w:r w:rsidRPr="773F6CAB" w:rsidR="00CB4130">
        <w:rPr>
          <w:rFonts w:ascii="Arial" w:hAnsi="Arial" w:cs="Arial"/>
          <w:sz w:val="20"/>
          <w:szCs w:val="20"/>
          <w:lang w:val="en-AU"/>
        </w:rPr>
        <w:t xml:space="preserve">stations </w:t>
      </w:r>
      <w:r w:rsidRPr="773F6CAB" w:rsidR="00AF5771">
        <w:rPr>
          <w:rFonts w:ascii="Arial" w:hAnsi="Arial" w:cs="Arial"/>
          <w:sz w:val="20"/>
          <w:szCs w:val="20"/>
          <w:lang w:val="en-AU"/>
        </w:rPr>
        <w:t xml:space="preserve">are </w:t>
      </w:r>
      <w:r w:rsidRPr="773F6CAB" w:rsidR="00CB4130">
        <w:rPr>
          <w:rFonts w:ascii="Arial" w:hAnsi="Arial" w:cs="Arial"/>
          <w:sz w:val="20"/>
          <w:szCs w:val="20"/>
          <w:lang w:val="en-AU"/>
        </w:rPr>
        <w:t>a subset</w:t>
      </w:r>
      <w:r w:rsidRPr="773F6CAB" w:rsidR="005E7154">
        <w:rPr>
          <w:rFonts w:ascii="Arial" w:hAnsi="Arial" w:cs="Arial"/>
          <w:sz w:val="20"/>
          <w:szCs w:val="20"/>
          <w:lang w:val="en-AU"/>
        </w:rPr>
        <w:t>.</w:t>
      </w:r>
    </w:p>
    <w:p w:rsidR="003B4D06" w:rsidP="003C5F66" w:rsidRDefault="005B49DA" w14:paraId="592045B6" w14:textId="043B1B14">
      <w:pPr>
        <w:rPr>
          <w:rFonts w:ascii="Arial" w:hAnsi="Arial" w:cs="Arial"/>
          <w:sz w:val="20"/>
          <w:szCs w:val="20"/>
          <w:lang w:val="en-AU"/>
        </w:rPr>
      </w:pPr>
      <w:r w:rsidRPr="747BBE27" w:rsidR="005B49DA">
        <w:rPr>
          <w:rFonts w:ascii="Arial" w:hAnsi="Arial" w:cs="Arial"/>
          <w:b w:val="1"/>
          <w:bCs w:val="1"/>
          <w:sz w:val="20"/>
          <w:szCs w:val="20"/>
          <w:lang w:val="en-AU"/>
        </w:rPr>
        <w:t>5</w:t>
      </w:r>
      <w:r w:rsidRPr="747BBE27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. </w:t>
      </w:r>
      <w:r w:rsidRPr="747BBE27" w:rsidR="00E748EF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A </w:t>
      </w:r>
      <w:r w:rsidRPr="747BBE27" w:rsidR="004B060A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Regional </w:t>
      </w:r>
      <w:r w:rsidRPr="747BBE27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Asset </w:t>
      </w:r>
      <w:r w:rsidRPr="747BBE27" w:rsidR="527DC389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Management </w:t>
      </w:r>
      <w:r w:rsidRPr="747BBE27" w:rsidR="003B4D06">
        <w:rPr>
          <w:rFonts w:ascii="Arial" w:hAnsi="Arial" w:cs="Arial"/>
          <w:b w:val="1"/>
          <w:bCs w:val="1"/>
          <w:sz w:val="20"/>
          <w:szCs w:val="20"/>
          <w:lang w:val="en-AU"/>
        </w:rPr>
        <w:t>Plan will be developed</w:t>
      </w:r>
      <w:r w:rsidRPr="747BBE27" w:rsidR="00380848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 and updated every year</w:t>
      </w:r>
      <w:r w:rsidRPr="747BBE27" w:rsidR="00FF61DF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 by SPREP</w:t>
      </w:r>
      <w:r w:rsidRPr="747BBE27" w:rsidR="004D512D">
        <w:rPr>
          <w:rFonts w:ascii="Arial" w:hAnsi="Arial" w:cs="Arial"/>
          <w:b w:val="1"/>
          <w:bCs w:val="1"/>
          <w:sz w:val="20"/>
          <w:szCs w:val="20"/>
          <w:lang w:val="en-AU"/>
        </w:rPr>
        <w:t xml:space="preserve"> </w:t>
      </w:r>
      <w:r w:rsidRPr="747BBE27" w:rsidR="004D512D">
        <w:rPr>
          <w:rFonts w:ascii="Arial" w:hAnsi="Arial" w:cs="Arial"/>
          <w:b w:val="1"/>
          <w:bCs w:val="1"/>
          <w:sz w:val="20"/>
          <w:szCs w:val="20"/>
          <w:lang w:val="en-AU"/>
        </w:rPr>
        <w:t>to govern all</w:t>
      </w:r>
      <w:r w:rsidRPr="747BBE27" w:rsidR="004D512D">
        <w:rPr>
          <w:rFonts w:ascii="Arial" w:hAnsi="Arial" w:cs="Arial"/>
          <w:sz w:val="20"/>
          <w:szCs w:val="20"/>
          <w:lang w:val="en-AU"/>
        </w:rPr>
        <w:t xml:space="preserve"> </w:t>
      </w:r>
      <w:r w:rsidRPr="747BBE27" w:rsidR="00380848">
        <w:rPr>
          <w:rFonts w:ascii="Arial" w:hAnsi="Arial" w:cs="Arial"/>
          <w:sz w:val="20"/>
          <w:szCs w:val="20"/>
          <w:lang w:val="en-AU"/>
        </w:rPr>
        <w:t>critical assets</w:t>
      </w:r>
      <w:r w:rsidRPr="747BBE27" w:rsidR="00F26250">
        <w:rPr>
          <w:rFonts w:ascii="Arial" w:hAnsi="Arial" w:cs="Arial"/>
          <w:sz w:val="20"/>
          <w:szCs w:val="20"/>
          <w:lang w:val="en-AU"/>
        </w:rPr>
        <w:t xml:space="preserve"> </w:t>
      </w:r>
      <w:r w:rsidRPr="747BBE27" w:rsidR="00C36A12">
        <w:rPr>
          <w:rFonts w:ascii="Arial" w:hAnsi="Arial" w:cs="Arial"/>
          <w:sz w:val="20"/>
          <w:szCs w:val="20"/>
          <w:lang w:val="en-AU"/>
        </w:rPr>
        <w:t>of the Pacific Observing Network</w:t>
      </w:r>
      <w:r w:rsidRPr="747BBE27" w:rsidR="00E748EF">
        <w:rPr>
          <w:rFonts w:ascii="Arial" w:hAnsi="Arial" w:cs="Arial"/>
          <w:sz w:val="20"/>
          <w:szCs w:val="20"/>
          <w:lang w:val="en-AU"/>
        </w:rPr>
        <w:t xml:space="preserve"> </w:t>
      </w:r>
      <w:r w:rsidRPr="747BBE27" w:rsidR="00FF61DF">
        <w:rPr>
          <w:rFonts w:ascii="Arial" w:hAnsi="Arial" w:cs="Arial"/>
          <w:sz w:val="20"/>
          <w:szCs w:val="20"/>
          <w:lang w:val="en-AU"/>
        </w:rPr>
        <w:t>that will be financed by the MHEWS Operational Fund</w:t>
      </w:r>
      <w:r w:rsidRPr="747BBE27" w:rsidR="005E7154">
        <w:rPr>
          <w:rFonts w:ascii="Arial" w:hAnsi="Arial" w:cs="Arial"/>
          <w:sz w:val="20"/>
          <w:szCs w:val="20"/>
          <w:lang w:val="en-AU"/>
        </w:rPr>
        <w:t xml:space="preserve">. Asset Plans </w:t>
      </w:r>
      <w:r w:rsidRPr="747BBE27" w:rsidR="00252AD4">
        <w:rPr>
          <w:rFonts w:ascii="Arial" w:hAnsi="Arial" w:cs="Arial"/>
          <w:sz w:val="20"/>
          <w:szCs w:val="20"/>
          <w:lang w:val="en-AU"/>
        </w:rPr>
        <w:t>adopt</w:t>
      </w:r>
      <w:r w:rsidRPr="747BBE27" w:rsidR="005E7154">
        <w:rPr>
          <w:rFonts w:ascii="Arial" w:hAnsi="Arial" w:cs="Arial"/>
          <w:sz w:val="20"/>
          <w:szCs w:val="20"/>
          <w:lang w:val="en-AU"/>
        </w:rPr>
        <w:t xml:space="preserve"> </w:t>
      </w:r>
      <w:r w:rsidRPr="747BBE27" w:rsidR="005E7154">
        <w:rPr>
          <w:rFonts w:ascii="Arial" w:hAnsi="Arial" w:cs="Arial"/>
          <w:sz w:val="20"/>
          <w:szCs w:val="20"/>
          <w:lang w:val="en-AU"/>
        </w:rPr>
        <w:t>a</w:t>
      </w:r>
      <w:r w:rsidRPr="747BBE27" w:rsidR="005E7154">
        <w:rPr>
          <w:rFonts w:ascii="Arial" w:hAnsi="Arial" w:cs="Arial"/>
          <w:sz w:val="20"/>
          <w:szCs w:val="20"/>
          <w:lang w:val="en-AU"/>
        </w:rPr>
        <w:t xml:space="preserve"> risk</w:t>
      </w:r>
      <w:r w:rsidRPr="747BBE27" w:rsidR="00252AD4">
        <w:rPr>
          <w:rFonts w:ascii="Arial" w:hAnsi="Arial" w:cs="Arial"/>
          <w:sz w:val="20"/>
          <w:szCs w:val="20"/>
          <w:lang w:val="en-AU"/>
        </w:rPr>
        <w:t>-b</w:t>
      </w:r>
      <w:r w:rsidRPr="747BBE27" w:rsidR="005E7154">
        <w:rPr>
          <w:rFonts w:ascii="Arial" w:hAnsi="Arial" w:cs="Arial"/>
          <w:sz w:val="20"/>
          <w:szCs w:val="20"/>
          <w:lang w:val="en-AU"/>
        </w:rPr>
        <w:t xml:space="preserve">ased approach </w:t>
      </w:r>
      <w:r w:rsidRPr="747BBE27" w:rsidR="00915B85">
        <w:rPr>
          <w:rFonts w:ascii="Arial" w:hAnsi="Arial" w:cs="Arial"/>
          <w:sz w:val="20"/>
          <w:szCs w:val="20"/>
          <w:lang w:val="en-AU"/>
        </w:rPr>
        <w:t xml:space="preserve">to meet the desired service level </w:t>
      </w:r>
      <w:r w:rsidRPr="747BBE27" w:rsidR="005E7154">
        <w:rPr>
          <w:rFonts w:ascii="Arial" w:hAnsi="Arial" w:cs="Arial"/>
          <w:sz w:val="20"/>
          <w:szCs w:val="20"/>
          <w:lang w:val="en-AU"/>
        </w:rPr>
        <w:t>and lifecycle cost</w:t>
      </w:r>
      <w:r w:rsidRPr="747BBE27" w:rsidR="00252AD4">
        <w:rPr>
          <w:rFonts w:ascii="Arial" w:hAnsi="Arial" w:cs="Arial"/>
          <w:sz w:val="20"/>
          <w:szCs w:val="20"/>
          <w:lang w:val="en-AU"/>
        </w:rPr>
        <w:t>s.</w:t>
      </w:r>
    </w:p>
    <w:p w:rsidR="00F33829" w:rsidP="00F33829" w:rsidRDefault="005B49DA" w14:paraId="6731BAF0" w14:textId="6F2FE208">
      <w:p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t>6</w:t>
      </w:r>
      <w:r w:rsidRPr="3DCC2915" w:rsidR="00F33829">
        <w:rPr>
          <w:rFonts w:ascii="Arial" w:hAnsi="Arial" w:cs="Arial"/>
          <w:b/>
          <w:bCs/>
          <w:sz w:val="20"/>
          <w:szCs w:val="20"/>
          <w:lang w:val="en-AU"/>
        </w:rPr>
        <w:t xml:space="preserve">. </w:t>
      </w:r>
      <w:r w:rsidR="00F33829">
        <w:rPr>
          <w:rFonts w:ascii="Arial" w:hAnsi="Arial" w:cs="Arial"/>
          <w:b/>
          <w:bCs/>
          <w:sz w:val="20"/>
          <w:szCs w:val="20"/>
          <w:lang w:val="en-AU"/>
        </w:rPr>
        <w:t>National Asset Plans will be developed and updated every year by NMHSs supported by SPREP</w:t>
      </w:r>
      <w:r w:rsidR="004D512D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  <w:r w:rsidRPr="004D512D" w:rsidR="004D512D">
        <w:rPr>
          <w:rFonts w:ascii="Arial" w:hAnsi="Arial" w:cs="Arial"/>
          <w:b/>
          <w:bCs/>
          <w:sz w:val="20"/>
          <w:szCs w:val="20"/>
          <w:lang w:val="en-AU"/>
        </w:rPr>
        <w:t>to govern all asset activities</w:t>
      </w:r>
      <w:r w:rsidR="00F33829">
        <w:rPr>
          <w:rFonts w:ascii="Arial" w:hAnsi="Arial" w:cs="Arial"/>
          <w:b/>
          <w:bCs/>
          <w:sz w:val="20"/>
          <w:szCs w:val="20"/>
          <w:lang w:val="en-AU"/>
        </w:rPr>
        <w:t xml:space="preserve">. </w:t>
      </w:r>
      <w:r w:rsidRPr="00857D1B" w:rsidR="00F33829">
        <w:rPr>
          <w:rFonts w:ascii="Arial" w:hAnsi="Arial" w:cs="Arial"/>
          <w:sz w:val="20"/>
          <w:szCs w:val="20"/>
          <w:lang w:val="en-AU"/>
        </w:rPr>
        <w:t xml:space="preserve">These cover all asset that are </w:t>
      </w:r>
      <w:r w:rsidR="00F33829">
        <w:rPr>
          <w:rFonts w:ascii="Arial" w:hAnsi="Arial" w:cs="Arial"/>
          <w:sz w:val="20"/>
          <w:szCs w:val="20"/>
          <w:lang w:val="en-AU"/>
        </w:rPr>
        <w:t>identified as a</w:t>
      </w:r>
      <w:r w:rsidRPr="00857D1B" w:rsidR="00F33829">
        <w:rPr>
          <w:rFonts w:ascii="Arial" w:hAnsi="Arial" w:cs="Arial"/>
          <w:sz w:val="20"/>
          <w:szCs w:val="20"/>
          <w:lang w:val="en-AU"/>
        </w:rPr>
        <w:t xml:space="preserve"> </w:t>
      </w:r>
      <w:r w:rsidR="00F33829">
        <w:rPr>
          <w:rFonts w:ascii="Arial" w:hAnsi="Arial" w:cs="Arial"/>
          <w:sz w:val="20"/>
          <w:szCs w:val="20"/>
          <w:lang w:val="en-AU"/>
        </w:rPr>
        <w:t xml:space="preserve">national </w:t>
      </w:r>
      <w:r w:rsidRPr="00857D1B" w:rsidR="00F33829">
        <w:rPr>
          <w:rFonts w:ascii="Arial" w:hAnsi="Arial" w:cs="Arial"/>
          <w:sz w:val="20"/>
          <w:szCs w:val="20"/>
          <w:lang w:val="en-AU"/>
        </w:rPr>
        <w:t>priority to the NMHS</w:t>
      </w:r>
      <w:r w:rsidR="00E77843">
        <w:rPr>
          <w:rFonts w:ascii="Arial" w:hAnsi="Arial" w:cs="Arial"/>
          <w:sz w:val="20"/>
          <w:szCs w:val="20"/>
          <w:lang w:val="en-AU"/>
        </w:rPr>
        <w:t xml:space="preserve">. </w:t>
      </w:r>
      <w:r w:rsidRPr="00857D1B" w:rsidR="00F33829">
        <w:rPr>
          <w:rFonts w:ascii="Arial" w:hAnsi="Arial" w:cs="Arial"/>
          <w:sz w:val="20"/>
          <w:szCs w:val="20"/>
          <w:lang w:val="en-AU"/>
        </w:rPr>
        <w:t xml:space="preserve">This </w:t>
      </w:r>
      <w:r w:rsidR="00F33829">
        <w:rPr>
          <w:rFonts w:ascii="Arial" w:hAnsi="Arial" w:cs="Arial"/>
          <w:sz w:val="20"/>
          <w:szCs w:val="20"/>
          <w:lang w:val="en-AU"/>
        </w:rPr>
        <w:t>enables</w:t>
      </w:r>
      <w:r w:rsidRPr="00857D1B" w:rsidR="00F33829">
        <w:rPr>
          <w:rFonts w:ascii="Arial" w:hAnsi="Arial" w:cs="Arial"/>
          <w:sz w:val="20"/>
          <w:szCs w:val="20"/>
          <w:lang w:val="en-AU"/>
        </w:rPr>
        <w:t xml:space="preserve"> NMHS long term planning and decision making</w:t>
      </w:r>
      <w:r w:rsidR="006C4429">
        <w:rPr>
          <w:rFonts w:ascii="Arial" w:hAnsi="Arial" w:cs="Arial"/>
          <w:sz w:val="20"/>
          <w:szCs w:val="20"/>
          <w:lang w:val="en-AU"/>
        </w:rPr>
        <w:t xml:space="preserve"> aligned with the regional asset plan and improvement strategies</w:t>
      </w:r>
      <w:r w:rsidRPr="00857D1B" w:rsidR="00F33829">
        <w:rPr>
          <w:rFonts w:ascii="Arial" w:hAnsi="Arial" w:cs="Arial"/>
          <w:sz w:val="20"/>
          <w:szCs w:val="20"/>
          <w:lang w:val="en-AU"/>
        </w:rPr>
        <w:t>,</w:t>
      </w:r>
      <w:r w:rsidR="00B25B42">
        <w:rPr>
          <w:rFonts w:ascii="Arial" w:hAnsi="Arial" w:cs="Arial"/>
          <w:sz w:val="20"/>
          <w:szCs w:val="20"/>
          <w:lang w:val="en-AU"/>
        </w:rPr>
        <w:t xml:space="preserve"> and</w:t>
      </w:r>
      <w:r w:rsidRPr="00857D1B" w:rsidR="00F33829">
        <w:rPr>
          <w:rFonts w:ascii="Arial" w:hAnsi="Arial" w:cs="Arial"/>
          <w:sz w:val="20"/>
          <w:szCs w:val="20"/>
          <w:lang w:val="en-AU"/>
        </w:rPr>
        <w:t xml:space="preserve"> assists securing </w:t>
      </w:r>
      <w:r w:rsidR="00F33829">
        <w:rPr>
          <w:rFonts w:ascii="Arial" w:hAnsi="Arial" w:cs="Arial"/>
          <w:sz w:val="20"/>
          <w:szCs w:val="20"/>
          <w:lang w:val="en-AU"/>
        </w:rPr>
        <w:t xml:space="preserve">of </w:t>
      </w:r>
      <w:r w:rsidRPr="00857D1B" w:rsidR="00F33829">
        <w:rPr>
          <w:rFonts w:ascii="Arial" w:hAnsi="Arial" w:cs="Arial"/>
          <w:sz w:val="20"/>
          <w:szCs w:val="20"/>
          <w:lang w:val="en-AU"/>
        </w:rPr>
        <w:t>national, regional and partner financing.</w:t>
      </w:r>
    </w:p>
    <w:p w:rsidR="007C7F71" w:rsidP="007C7F71" w:rsidRDefault="00CA7665" w14:paraId="739C62E7" w14:textId="41804F7F">
      <w:pPr>
        <w:rPr>
          <w:rFonts w:ascii="Arial" w:hAnsi="Arial" w:cs="Arial"/>
          <w:b w:val="1"/>
          <w:bCs w:val="1"/>
          <w:sz w:val="20"/>
          <w:szCs w:val="20"/>
        </w:rPr>
      </w:pPr>
      <w:r w:rsidRPr="773F6CAB" w:rsidR="00CA7665">
        <w:rPr>
          <w:rFonts w:ascii="Arial" w:hAnsi="Arial" w:cs="Arial"/>
          <w:b w:val="1"/>
          <w:bCs w:val="1"/>
          <w:sz w:val="20"/>
          <w:szCs w:val="20"/>
        </w:rPr>
        <w:t>7</w:t>
      </w:r>
      <w:r w:rsidRPr="773F6CAB" w:rsidR="007C7F71">
        <w:rPr>
          <w:rFonts w:ascii="Arial" w:hAnsi="Arial" w:cs="Arial"/>
          <w:b w:val="1"/>
          <w:bCs w:val="1"/>
          <w:sz w:val="20"/>
          <w:szCs w:val="20"/>
        </w:rPr>
        <w:t>. Maintenance Agreements will be established (Appendix D</w:t>
      </w:r>
      <w:r w:rsidRPr="773F6CAB" w:rsidR="00881A55">
        <w:rPr>
          <w:rFonts w:ascii="Arial" w:hAnsi="Arial" w:cs="Arial"/>
          <w:b w:val="1"/>
          <w:bCs w:val="1"/>
          <w:sz w:val="20"/>
          <w:szCs w:val="20"/>
        </w:rPr>
        <w:t xml:space="preserve"> template</w:t>
      </w:r>
      <w:r w:rsidRPr="773F6CAB" w:rsidR="007C7F71">
        <w:rPr>
          <w:rFonts w:ascii="Arial" w:hAnsi="Arial" w:cs="Arial"/>
          <w:b w:val="1"/>
          <w:bCs w:val="1"/>
          <w:sz w:val="20"/>
          <w:szCs w:val="20"/>
        </w:rPr>
        <w:t xml:space="preserve">) to define the contributions to the Operational Funds by countries, regional agencies, projects, investors and Partners. </w:t>
      </w:r>
      <w:r w:rsidRPr="773F6CAB" w:rsidR="007C7F71">
        <w:rPr>
          <w:rFonts w:ascii="Arial" w:hAnsi="Arial" w:cs="Arial"/>
          <w:sz w:val="20"/>
          <w:szCs w:val="20"/>
        </w:rPr>
        <w:t>All project</w:t>
      </w:r>
      <w:r w:rsidRPr="773F6CAB" w:rsidR="007C7F71">
        <w:rPr>
          <w:rFonts w:ascii="Arial" w:hAnsi="Arial" w:cs="Arial"/>
          <w:sz w:val="20"/>
          <w:szCs w:val="20"/>
        </w:rPr>
        <w:t xml:space="preserve"> budgets</w:t>
      </w:r>
      <w:r w:rsidRPr="773F6CAB" w:rsidR="007C7F71">
        <w:rPr>
          <w:rFonts w:ascii="Arial" w:hAnsi="Arial" w:cs="Arial"/>
          <w:sz w:val="20"/>
          <w:szCs w:val="20"/>
        </w:rPr>
        <w:t xml:space="preserve"> </w:t>
      </w:r>
      <w:r w:rsidRPr="773F6CAB" w:rsidR="007C7F71">
        <w:rPr>
          <w:rFonts w:ascii="Arial" w:hAnsi="Arial" w:cs="Arial"/>
          <w:sz w:val="20"/>
          <w:szCs w:val="20"/>
        </w:rPr>
        <w:t>to provision</w:t>
      </w:r>
      <w:r w:rsidRPr="773F6CAB" w:rsidR="007C7F71">
        <w:rPr>
          <w:rFonts w:ascii="Arial" w:hAnsi="Arial" w:cs="Arial"/>
          <w:sz w:val="20"/>
          <w:szCs w:val="20"/>
        </w:rPr>
        <w:t xml:space="preserve"> contribut</w:t>
      </w:r>
      <w:r w:rsidRPr="773F6CAB" w:rsidR="007C7F71">
        <w:rPr>
          <w:rFonts w:ascii="Arial" w:hAnsi="Arial" w:cs="Arial"/>
          <w:sz w:val="20"/>
          <w:szCs w:val="20"/>
        </w:rPr>
        <w:t>ion of</w:t>
      </w:r>
      <w:r w:rsidRPr="773F6CAB" w:rsidR="007C7F71">
        <w:rPr>
          <w:rFonts w:ascii="Arial" w:hAnsi="Arial" w:cs="Arial"/>
          <w:sz w:val="20"/>
          <w:szCs w:val="20"/>
        </w:rPr>
        <w:t xml:space="preserve"> at least </w:t>
      </w:r>
      <w:r w:rsidRPr="773F6CAB" w:rsidR="007C7F71">
        <w:rPr>
          <w:rFonts w:ascii="Arial" w:hAnsi="Arial" w:cs="Arial"/>
          <w:sz w:val="20"/>
          <w:szCs w:val="20"/>
        </w:rPr>
        <w:t xml:space="preserve">the </w:t>
      </w:r>
      <w:r w:rsidRPr="773F6CAB" w:rsidR="007C7F71">
        <w:rPr>
          <w:rFonts w:ascii="Arial" w:hAnsi="Arial" w:cs="Arial"/>
          <w:sz w:val="20"/>
          <w:szCs w:val="20"/>
        </w:rPr>
        <w:t xml:space="preserve">first </w:t>
      </w:r>
      <w:r w:rsidRPr="773F6CAB" w:rsidR="007C7F71">
        <w:rPr>
          <w:rFonts w:ascii="Arial" w:hAnsi="Arial" w:cs="Arial"/>
          <w:sz w:val="20"/>
          <w:szCs w:val="20"/>
        </w:rPr>
        <w:t xml:space="preserve">5 years of </w:t>
      </w:r>
      <w:r w:rsidRPr="773F6CAB" w:rsidR="007C7F71">
        <w:rPr>
          <w:rFonts w:ascii="Arial" w:hAnsi="Arial" w:cs="Arial"/>
          <w:sz w:val="20"/>
          <w:szCs w:val="20"/>
        </w:rPr>
        <w:t>asset lifecycle</w:t>
      </w:r>
      <w:r w:rsidRPr="773F6CAB" w:rsidR="007C7F71">
        <w:rPr>
          <w:rFonts w:ascii="Arial" w:hAnsi="Arial" w:cs="Arial"/>
          <w:sz w:val="20"/>
          <w:szCs w:val="20"/>
        </w:rPr>
        <w:t xml:space="preserve"> cost</w:t>
      </w:r>
      <w:r w:rsidRPr="773F6CAB" w:rsidR="007C7F71">
        <w:rPr>
          <w:rFonts w:ascii="Arial" w:hAnsi="Arial" w:cs="Arial"/>
          <w:sz w:val="20"/>
          <w:szCs w:val="20"/>
        </w:rPr>
        <w:t>.</w:t>
      </w:r>
    </w:p>
    <w:p w:rsidRPr="007A51B8" w:rsidR="003A7B8C" w:rsidP="003A7B8C" w:rsidRDefault="00CA7665" w14:paraId="0548BD05" w14:textId="4B3CCB73">
      <w:pPr>
        <w:rPr>
          <w:rFonts w:ascii="Arial" w:hAnsi="Arial" w:cs="Arial"/>
          <w:sz w:val="20"/>
          <w:szCs w:val="20"/>
        </w:rPr>
      </w:pPr>
      <w:r w:rsidRPr="773F6CAB" w:rsidR="00CA7665">
        <w:rPr>
          <w:rFonts w:ascii="Arial" w:hAnsi="Arial" w:cs="Arial"/>
          <w:b w:val="1"/>
          <w:bCs w:val="1"/>
          <w:sz w:val="20"/>
          <w:szCs w:val="20"/>
        </w:rPr>
        <w:t>8</w:t>
      </w:r>
      <w:r w:rsidRPr="773F6CAB" w:rsidR="003A7B8C">
        <w:rPr>
          <w:rFonts w:ascii="Arial" w:hAnsi="Arial" w:cs="Arial"/>
          <w:b w:val="1"/>
          <w:bCs w:val="1"/>
          <w:sz w:val="20"/>
          <w:szCs w:val="20"/>
        </w:rPr>
        <w:t xml:space="preserve">. </w:t>
      </w:r>
      <w:r w:rsidRPr="773F6CAB" w:rsidR="003A7B8C">
        <w:rPr>
          <w:rFonts w:ascii="Arial" w:hAnsi="Arial" w:cs="Arial"/>
          <w:b w:val="1"/>
          <w:bCs w:val="1"/>
          <w:sz w:val="20"/>
          <w:szCs w:val="20"/>
        </w:rPr>
        <w:t xml:space="preserve">A common asset information and maintenance system (AIMS) will be used by NMHSs, administered by SPREP, </w:t>
      </w:r>
      <w:r w:rsidRPr="773F6CAB" w:rsidR="003A7B8C">
        <w:rPr>
          <w:rFonts w:ascii="Arial" w:hAnsi="Arial" w:cs="Arial"/>
          <w:sz w:val="20"/>
          <w:szCs w:val="20"/>
        </w:rPr>
        <w:t>which will be</w:t>
      </w:r>
      <w:r w:rsidRPr="773F6CAB" w:rsidR="003A7B8C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773F6CAB" w:rsidR="003A7B8C">
        <w:rPr>
          <w:rFonts w:ascii="Arial" w:hAnsi="Arial" w:cs="Arial"/>
          <w:sz w:val="20"/>
          <w:szCs w:val="20"/>
        </w:rPr>
        <w:t>the source of truth of meteorological assets that underpin the national and regional asset plans</w:t>
      </w:r>
      <w:r w:rsidRPr="773F6CAB" w:rsidR="00E13429">
        <w:rPr>
          <w:rFonts w:ascii="Arial" w:hAnsi="Arial" w:cs="Arial"/>
          <w:sz w:val="20"/>
          <w:szCs w:val="20"/>
        </w:rPr>
        <w:t xml:space="preserve">. The </w:t>
      </w:r>
      <w:r w:rsidRPr="773F6CAB" w:rsidR="00315635">
        <w:rPr>
          <w:rFonts w:ascii="Arial" w:hAnsi="Arial" w:cs="Arial"/>
          <w:sz w:val="20"/>
          <w:szCs w:val="20"/>
        </w:rPr>
        <w:t xml:space="preserve">information </w:t>
      </w:r>
      <w:r w:rsidRPr="773F6CAB" w:rsidR="00B558AD">
        <w:rPr>
          <w:rFonts w:ascii="Arial" w:hAnsi="Arial" w:cs="Arial"/>
          <w:sz w:val="20"/>
          <w:szCs w:val="20"/>
        </w:rPr>
        <w:t>will be</w:t>
      </w:r>
      <w:r w:rsidRPr="773F6CAB" w:rsidR="00315635">
        <w:rPr>
          <w:rFonts w:ascii="Arial" w:hAnsi="Arial" w:cs="Arial"/>
          <w:sz w:val="20"/>
          <w:szCs w:val="20"/>
        </w:rPr>
        <w:t xml:space="preserve"> proactively </w:t>
      </w:r>
      <w:r w:rsidRPr="773F6CAB" w:rsidR="0074528A">
        <w:rPr>
          <w:rFonts w:ascii="Arial" w:hAnsi="Arial" w:cs="Arial"/>
          <w:sz w:val="20"/>
          <w:szCs w:val="20"/>
        </w:rPr>
        <w:t>kept up to date</w:t>
      </w:r>
      <w:r w:rsidRPr="773F6CAB" w:rsidR="00315635">
        <w:rPr>
          <w:rFonts w:ascii="Arial" w:hAnsi="Arial" w:cs="Arial"/>
          <w:sz w:val="20"/>
          <w:szCs w:val="20"/>
        </w:rPr>
        <w:t xml:space="preserve"> to</w:t>
      </w:r>
      <w:r w:rsidRPr="773F6CAB" w:rsidR="003A7B8C">
        <w:rPr>
          <w:rFonts w:ascii="Arial" w:hAnsi="Arial" w:cs="Arial"/>
          <w:sz w:val="20"/>
          <w:szCs w:val="20"/>
        </w:rPr>
        <w:t xml:space="preserve"> </w:t>
      </w:r>
      <w:r w:rsidRPr="773F6CAB" w:rsidR="002E1B28">
        <w:rPr>
          <w:rFonts w:ascii="Arial" w:hAnsi="Arial" w:cs="Arial"/>
          <w:sz w:val="20"/>
          <w:szCs w:val="20"/>
        </w:rPr>
        <w:t>enable</w:t>
      </w:r>
      <w:r w:rsidRPr="773F6CAB" w:rsidR="003A7B8C">
        <w:rPr>
          <w:rFonts w:ascii="Arial" w:hAnsi="Arial" w:cs="Arial"/>
          <w:sz w:val="20"/>
          <w:szCs w:val="20"/>
        </w:rPr>
        <w:t xml:space="preserve"> evidence-based decision making, strengthen</w:t>
      </w:r>
      <w:r w:rsidRPr="773F6CAB" w:rsidR="003A7B8C">
        <w:rPr>
          <w:rFonts w:ascii="Arial" w:hAnsi="Arial" w:cs="Arial"/>
          <w:sz w:val="20"/>
          <w:szCs w:val="20"/>
        </w:rPr>
        <w:t xml:space="preserve"> countries maintenance </w:t>
      </w:r>
      <w:r w:rsidRPr="773F6CAB" w:rsidR="003A7B8C">
        <w:rPr>
          <w:rFonts w:ascii="Arial" w:hAnsi="Arial" w:cs="Arial"/>
          <w:sz w:val="20"/>
          <w:szCs w:val="20"/>
        </w:rPr>
        <w:t>and quality management systems</w:t>
      </w:r>
      <w:r w:rsidRPr="773F6CAB" w:rsidR="001E14D2">
        <w:rPr>
          <w:rFonts w:ascii="Arial" w:hAnsi="Arial" w:cs="Arial"/>
          <w:sz w:val="20"/>
          <w:szCs w:val="20"/>
        </w:rPr>
        <w:t xml:space="preserve">, </w:t>
      </w:r>
      <w:r w:rsidRPr="773F6CAB" w:rsidR="001E14D2">
        <w:rPr>
          <w:rFonts w:ascii="Arial" w:hAnsi="Arial" w:cs="Arial"/>
          <w:sz w:val="20"/>
          <w:szCs w:val="20"/>
        </w:rPr>
        <w:t xml:space="preserve">to allow changes to be understood and managed to maintain the quality and integrity of the </w:t>
      </w:r>
      <w:r w:rsidRPr="773F6CAB" w:rsidR="00465800">
        <w:rPr>
          <w:rFonts w:ascii="Arial" w:hAnsi="Arial" w:cs="Arial"/>
          <w:sz w:val="20"/>
          <w:szCs w:val="20"/>
        </w:rPr>
        <w:t>observation record.</w:t>
      </w:r>
    </w:p>
    <w:p w:rsidRPr="00EA103C" w:rsidR="00174E02" w:rsidP="00E169E6" w:rsidRDefault="009D7780" w14:paraId="24D402D0" w14:textId="1CEE7A3A">
      <w:pPr>
        <w:rPr>
          <w:rFonts w:ascii="Arial" w:hAnsi="Arial" w:cs="Arial"/>
          <w:sz w:val="20"/>
          <w:szCs w:val="20"/>
        </w:rPr>
      </w:pPr>
      <w:r w:rsidRPr="773F6CAB" w:rsidR="009D7780">
        <w:rPr>
          <w:rFonts w:ascii="Arial" w:hAnsi="Arial" w:cs="Arial"/>
          <w:b w:val="1"/>
          <w:bCs w:val="1"/>
          <w:sz w:val="20"/>
          <w:szCs w:val="20"/>
        </w:rPr>
        <w:t>9</w:t>
      </w:r>
      <w:r w:rsidRPr="773F6CAB" w:rsidR="3FA0A2C6">
        <w:rPr>
          <w:rFonts w:ascii="Arial" w:hAnsi="Arial" w:cs="Arial"/>
          <w:b w:val="1"/>
          <w:bCs w:val="1"/>
          <w:sz w:val="20"/>
          <w:szCs w:val="20"/>
        </w:rPr>
        <w:t xml:space="preserve">. </w:t>
      </w:r>
      <w:r w:rsidRPr="773F6CAB" w:rsidR="003E745C">
        <w:rPr>
          <w:rFonts w:ascii="Arial" w:hAnsi="Arial" w:cs="Arial"/>
          <w:b w:val="1"/>
          <w:bCs w:val="1"/>
          <w:sz w:val="20"/>
          <w:szCs w:val="20"/>
        </w:rPr>
        <w:t>The PMC will review this policy at least every four years</w:t>
      </w:r>
      <w:r w:rsidRPr="773F6CAB" w:rsidR="003E745C">
        <w:rPr>
          <w:rFonts w:ascii="Arial" w:hAnsi="Arial" w:cs="Arial"/>
          <w:sz w:val="20"/>
          <w:szCs w:val="20"/>
        </w:rPr>
        <w:t xml:space="preserve"> to reflect technological, institutional, and regional changes.</w:t>
      </w:r>
      <w:r w:rsidRPr="773F6CAB" w:rsidR="00FE6827">
        <w:rPr>
          <w:rFonts w:ascii="Arial" w:hAnsi="Arial" w:cs="Arial"/>
          <w:sz w:val="20"/>
          <w:szCs w:val="20"/>
        </w:rPr>
        <w:t xml:space="preserve"> SPREP will update the </w:t>
      </w:r>
      <w:r w:rsidRPr="773F6CAB" w:rsidR="006F0A05">
        <w:rPr>
          <w:rFonts w:ascii="Arial" w:hAnsi="Arial" w:cs="Arial"/>
          <w:sz w:val="20"/>
          <w:szCs w:val="20"/>
        </w:rPr>
        <w:t>Appendices</w:t>
      </w:r>
      <w:r w:rsidRPr="773F6CAB" w:rsidR="00FE6827">
        <w:rPr>
          <w:rFonts w:ascii="Arial" w:hAnsi="Arial" w:cs="Arial"/>
          <w:sz w:val="20"/>
          <w:szCs w:val="20"/>
        </w:rPr>
        <w:t xml:space="preserve"> as needed, in consultation with the PMC Panel.</w:t>
      </w:r>
    </w:p>
    <w:p w:rsidRPr="0001175E" w:rsidR="00F5405D" w:rsidRDefault="00EA103C" w14:paraId="3A121D18" w14:textId="4FB3F92A">
      <w:pPr>
        <w:pStyle w:val="Heading1"/>
        <w:rPr>
          <w:rFonts w:ascii="Arial" w:hAnsi="Arial" w:eastAsia="Times New Roman" w:cs="Arial"/>
          <w:kern w:val="36"/>
        </w:rPr>
      </w:pPr>
      <w:r w:rsidRPr="0001175E">
        <w:rPr>
          <w:rFonts w:ascii="Arial" w:hAnsi="Arial" w:eastAsia="Times New Roman" w:cs="Arial"/>
        </w:rPr>
        <w:t>4</w:t>
      </w:r>
      <w:r w:rsidRPr="0001175E" w:rsidR="00F5405D">
        <w:rPr>
          <w:rFonts w:ascii="Arial" w:hAnsi="Arial" w:eastAsia="Times New Roman" w:cs="Arial"/>
        </w:rPr>
        <w:t>. Signatories</w:t>
      </w:r>
    </w:p>
    <w:p w:rsidRPr="00EA103C" w:rsidR="008E18ED" w:rsidRDefault="008E18ED" w14:paraId="7BBD5706" w14:textId="77777777">
      <w:pPr>
        <w:rPr>
          <w:rFonts w:ascii="Arial" w:hAnsi="Arial" w:cs="Arial"/>
          <w:sz w:val="20"/>
          <w:szCs w:val="20"/>
        </w:rPr>
      </w:pPr>
      <w:r w:rsidRPr="00EA103C">
        <w:rPr>
          <w:rFonts w:ascii="Arial" w:hAnsi="Arial" w:cs="Arial"/>
          <w:sz w:val="20"/>
          <w:szCs w:val="20"/>
        </w:rPr>
        <w:t>Signatories to this policy include:</w:t>
      </w:r>
    </w:p>
    <w:p w:rsidR="007B3F7C" w:rsidRDefault="00FC17AA" w14:paraId="4D6CF744" w14:textId="74D01155">
      <w:r w:rsidRPr="00EA103C">
        <w:rPr>
          <w:rFonts w:ascii="Arial" w:hAnsi="Arial" w:cs="Arial"/>
          <w:sz w:val="20"/>
          <w:szCs w:val="20"/>
        </w:rPr>
        <w:t xml:space="preserve"> </w:t>
      </w:r>
      <w:r w:rsidRPr="00EA103C" w:rsidR="00213CD8">
        <w:rPr>
          <w:rFonts w:ascii="Arial" w:hAnsi="Arial" w:cs="Arial"/>
          <w:sz w:val="20"/>
          <w:szCs w:val="20"/>
        </w:rPr>
        <w:t xml:space="preserve">Country xxxx, </w:t>
      </w:r>
      <w:r w:rsidRPr="00EA103C" w:rsidR="008455E5">
        <w:rPr>
          <w:rFonts w:ascii="Arial" w:hAnsi="Arial" w:cs="Arial"/>
          <w:sz w:val="20"/>
          <w:szCs w:val="20"/>
        </w:rPr>
        <w:tab/>
      </w:r>
      <w:r w:rsidRPr="00EA103C" w:rsidR="008455E5">
        <w:rPr>
          <w:rFonts w:ascii="Arial" w:hAnsi="Arial" w:cs="Arial"/>
          <w:sz w:val="20"/>
          <w:szCs w:val="20"/>
        </w:rPr>
        <w:tab/>
      </w:r>
      <w:r w:rsidRPr="00EA103C" w:rsidR="008455E5">
        <w:rPr>
          <w:rFonts w:ascii="Arial" w:hAnsi="Arial" w:cs="Arial"/>
          <w:sz w:val="20"/>
          <w:szCs w:val="20"/>
        </w:rPr>
        <w:tab/>
      </w:r>
      <w:r w:rsidRPr="00EA103C" w:rsidR="008455E5">
        <w:rPr>
          <w:rFonts w:ascii="Arial" w:hAnsi="Arial" w:cs="Arial"/>
          <w:sz w:val="20"/>
          <w:szCs w:val="20"/>
        </w:rPr>
        <w:tab/>
      </w:r>
      <w:r w:rsidRPr="00EA103C" w:rsidR="008455E5">
        <w:rPr>
          <w:rFonts w:ascii="Arial" w:hAnsi="Arial" w:cs="Arial"/>
          <w:sz w:val="20"/>
          <w:szCs w:val="20"/>
        </w:rPr>
        <w:tab/>
      </w:r>
      <w:r w:rsidRPr="00EA103C" w:rsidR="008455E5">
        <w:rPr>
          <w:rFonts w:ascii="Arial" w:hAnsi="Arial" w:cs="Arial"/>
          <w:sz w:val="20"/>
          <w:szCs w:val="20"/>
        </w:rPr>
        <w:t>Representative xxx</w:t>
      </w:r>
      <w:r w:rsidR="007B3F7C">
        <w:br w:type="page"/>
      </w:r>
    </w:p>
    <w:p w:rsidRPr="00E05C48" w:rsidR="008626C1" w:rsidP="007B3F7C" w:rsidRDefault="002404E9" w14:paraId="3ADF2949" w14:textId="21878DB0">
      <w:pPr>
        <w:pStyle w:val="Heading1"/>
        <w:rPr>
          <w:rFonts w:ascii="Arial" w:hAnsi="Arial" w:cs="Arial"/>
        </w:rPr>
      </w:pPr>
      <w:r w:rsidRPr="679A5220">
        <w:rPr>
          <w:rFonts w:ascii="Arial" w:hAnsi="Arial" w:cs="Arial"/>
        </w:rPr>
        <w:t>Appendix</w:t>
      </w:r>
      <w:r w:rsidRPr="679A5220" w:rsidR="007B3F7C">
        <w:rPr>
          <w:rFonts w:ascii="Arial" w:hAnsi="Arial" w:cs="Arial"/>
        </w:rPr>
        <w:t xml:space="preserve"> A – </w:t>
      </w:r>
      <w:r w:rsidR="007D124F">
        <w:rPr>
          <w:rFonts w:ascii="Arial" w:hAnsi="Arial" w:cs="Arial"/>
        </w:rPr>
        <w:t>Asset Classes</w:t>
      </w:r>
    </w:p>
    <w:p w:rsidRPr="001B5166" w:rsidR="008626C1" w:rsidP="008626C1" w:rsidRDefault="008626C1" w14:paraId="6C8AFBD1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296" w:type="dxa"/>
        <w:tblLook w:val="04A0" w:firstRow="1" w:lastRow="0" w:firstColumn="1" w:lastColumn="0" w:noHBand="0" w:noVBand="1"/>
      </w:tblPr>
      <w:tblGrid>
        <w:gridCol w:w="3539"/>
        <w:gridCol w:w="2280"/>
        <w:gridCol w:w="2477"/>
      </w:tblGrid>
      <w:tr w:rsidRPr="001B5166" w:rsidR="008626C1" w:rsidTr="773F6CAB" w14:paraId="5B997913" w14:textId="77777777">
        <w:tc>
          <w:tcPr>
            <w:tcW w:w="3539" w:type="dxa"/>
            <w:tcMar/>
          </w:tcPr>
          <w:p w:rsidRPr="001B5166" w:rsidR="008626C1" w:rsidRDefault="007D124F" w14:paraId="33A8317F" w14:textId="20AE9C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B5166" w:rsidR="003F76E8">
              <w:rPr>
                <w:rFonts w:ascii="Arial" w:hAnsi="Arial" w:cs="Arial"/>
                <w:b/>
                <w:bCs/>
                <w:sz w:val="20"/>
                <w:szCs w:val="20"/>
              </w:rPr>
              <w:t>sset classes</w:t>
            </w:r>
          </w:p>
        </w:tc>
        <w:tc>
          <w:tcPr>
            <w:tcW w:w="2280" w:type="dxa"/>
            <w:tcMar/>
          </w:tcPr>
          <w:p w:rsidRPr="001B5166" w:rsidR="008626C1" w:rsidRDefault="003D1BD2" w14:paraId="567F9D37" w14:textId="766E8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Improvement Strategy</w:t>
            </w:r>
          </w:p>
        </w:tc>
        <w:tc>
          <w:tcPr>
            <w:tcW w:w="2477" w:type="dxa"/>
            <w:tcMar/>
          </w:tcPr>
          <w:p w:rsidRPr="001B5166" w:rsidR="008626C1" w:rsidRDefault="008626C1" w14:paraId="78BF3D24" w14:textId="55BA45EF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73F6CAB" w:rsidR="29D9947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Status</w:t>
            </w:r>
          </w:p>
        </w:tc>
      </w:tr>
      <w:tr w:rsidRPr="001B5166" w:rsidR="006A1A37" w:rsidTr="773F6CAB" w14:paraId="0A225A0F" w14:textId="77777777">
        <w:tc>
          <w:tcPr>
            <w:tcW w:w="3539" w:type="dxa"/>
            <w:tcMar/>
          </w:tcPr>
          <w:p w:rsidRPr="001B5166" w:rsidR="006A1A37" w:rsidRDefault="006A1A37" w14:paraId="29C6B66E" w14:textId="4317754C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AWS network</w:t>
            </w:r>
          </w:p>
        </w:tc>
        <w:tc>
          <w:tcPr>
            <w:tcW w:w="2280" w:type="dxa"/>
            <w:vMerge w:val="restart"/>
            <w:tcMar/>
          </w:tcPr>
          <w:p w:rsidRPr="001B5166" w:rsidR="006A1A37" w:rsidRDefault="006A1A37" w14:paraId="47515C59" w14:textId="7EC2D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Pacific Regional Observation Strategy</w:t>
            </w:r>
          </w:p>
        </w:tc>
        <w:tc>
          <w:tcPr>
            <w:tcW w:w="2477" w:type="dxa"/>
            <w:vMerge w:val="restart"/>
            <w:tcMar/>
          </w:tcPr>
          <w:p w:rsidRPr="001B5166" w:rsidR="006A1A37" w:rsidP="773F6CAB" w:rsidRDefault="006A1A37" w14:paraId="175099A0" w14:textId="4331458B">
            <w:pPr>
              <w:spacing w:line="259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773F6CAB" w:rsidR="1DD899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Endorsed by PICI Panel</w:t>
            </w:r>
          </w:p>
        </w:tc>
      </w:tr>
      <w:tr w:rsidRPr="001B5166" w:rsidR="006A1A37" w:rsidTr="773F6CAB" w14:paraId="59FFF6EB" w14:textId="77777777">
        <w:tc>
          <w:tcPr>
            <w:tcW w:w="3539" w:type="dxa"/>
            <w:tcMar/>
          </w:tcPr>
          <w:p w:rsidRPr="001B5166" w:rsidR="006A1A37" w:rsidRDefault="006A1A37" w14:paraId="62E59723" w14:textId="0D3CA664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Manual observation network</w:t>
            </w:r>
          </w:p>
        </w:tc>
        <w:tc>
          <w:tcPr>
            <w:tcW w:w="2280" w:type="dxa"/>
            <w:vMerge/>
            <w:tcMar/>
          </w:tcPr>
          <w:p w:rsidRPr="001B5166" w:rsidR="006A1A37" w:rsidRDefault="006A1A37" w14:paraId="1CE40191" w14:textId="61449E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  <w:tcMar/>
          </w:tcPr>
          <w:p w:rsidRPr="001B5166" w:rsidR="006A1A37" w:rsidRDefault="006A1A37" w14:paraId="721CE812" w14:textId="082DD4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B5166" w:rsidR="006A1A37" w:rsidTr="773F6CAB" w14:paraId="4CE78DFF" w14:textId="77777777">
        <w:tc>
          <w:tcPr>
            <w:tcW w:w="3539" w:type="dxa"/>
            <w:tcMar/>
          </w:tcPr>
          <w:p w:rsidRPr="001B5166" w:rsidR="006A1A37" w:rsidRDefault="006A1A37" w14:paraId="4BB0834A" w14:textId="112EABDF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Upper air network</w:t>
            </w:r>
          </w:p>
        </w:tc>
        <w:tc>
          <w:tcPr>
            <w:tcW w:w="2280" w:type="dxa"/>
            <w:vMerge/>
            <w:tcMar/>
          </w:tcPr>
          <w:p w:rsidRPr="001B5166" w:rsidR="006A1A37" w:rsidRDefault="006A1A37" w14:paraId="4DA999A1" w14:textId="133D2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vMerge/>
            <w:tcMar/>
          </w:tcPr>
          <w:p w:rsidRPr="001B5166" w:rsidR="006A1A37" w:rsidP="50E72420" w:rsidRDefault="006A1A37" w14:paraId="7E7796F7" w14:textId="207DC0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B5166" w:rsidR="006A1A37" w:rsidTr="773F6CAB" w14:paraId="10C8A930" w14:textId="77777777">
        <w:tc>
          <w:tcPr>
            <w:tcW w:w="3539" w:type="dxa"/>
            <w:tcMar/>
          </w:tcPr>
          <w:p w:rsidRPr="001B5166" w:rsidR="006A1A37" w:rsidRDefault="006A1A37" w14:paraId="1ADCD735" w14:textId="6FB2D47A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Wave buoy and Ocean network</w:t>
            </w:r>
          </w:p>
        </w:tc>
        <w:tc>
          <w:tcPr>
            <w:tcW w:w="2280" w:type="dxa"/>
            <w:vMerge/>
            <w:tcMar/>
          </w:tcPr>
          <w:p w:rsidRPr="001B5166" w:rsidR="006A1A37" w:rsidRDefault="006A1A37" w14:paraId="2538C174" w14:textId="78C238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tcMar/>
          </w:tcPr>
          <w:p w:rsidRPr="001B5166" w:rsidR="006A1A37" w:rsidRDefault="006A1A37" w14:paraId="0D6257A2" w14:textId="0D177A02">
            <w:pPr>
              <w:rPr>
                <w:rFonts w:ascii="Arial" w:hAnsi="Arial" w:cs="Arial"/>
                <w:sz w:val="20"/>
                <w:szCs w:val="20"/>
              </w:rPr>
            </w:pPr>
            <w:r w:rsidRPr="773F6CAB" w:rsidR="6200CF87">
              <w:rPr>
                <w:rFonts w:ascii="Arial" w:hAnsi="Arial" w:cs="Arial"/>
                <w:sz w:val="20"/>
                <w:szCs w:val="20"/>
              </w:rPr>
              <w:t>NYC</w:t>
            </w:r>
          </w:p>
        </w:tc>
      </w:tr>
      <w:tr w:rsidRPr="001B5166" w:rsidR="006A1A37" w:rsidTr="773F6CAB" w14:paraId="192FB4CE" w14:textId="77777777">
        <w:tc>
          <w:tcPr>
            <w:tcW w:w="3539" w:type="dxa"/>
            <w:tcMar/>
          </w:tcPr>
          <w:p w:rsidRPr="001B5166" w:rsidR="006A1A37" w:rsidRDefault="006A1A37" w14:paraId="7D0F46EA" w14:textId="15E636E6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Tide gauge network</w:t>
            </w:r>
          </w:p>
        </w:tc>
        <w:tc>
          <w:tcPr>
            <w:tcW w:w="2280" w:type="dxa"/>
            <w:vMerge/>
            <w:tcMar/>
          </w:tcPr>
          <w:p w:rsidRPr="001B5166" w:rsidR="006A1A37" w:rsidRDefault="006A1A37" w14:paraId="4E206CDA" w14:textId="2E0C3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tcMar/>
          </w:tcPr>
          <w:p w:rsidRPr="001B5166" w:rsidR="006A1A37" w:rsidRDefault="006A1A37" w14:paraId="4CFCCC20" w14:textId="5A12E1A4">
            <w:pPr>
              <w:rPr>
                <w:rFonts w:ascii="Arial" w:hAnsi="Arial" w:cs="Arial"/>
                <w:sz w:val="20"/>
                <w:szCs w:val="20"/>
              </w:rPr>
            </w:pPr>
            <w:r w:rsidRPr="773F6CAB" w:rsidR="1BB920B7">
              <w:rPr>
                <w:rFonts w:ascii="Arial" w:hAnsi="Arial" w:cs="Arial"/>
                <w:sz w:val="20"/>
                <w:szCs w:val="20"/>
              </w:rPr>
              <w:t>NYC</w:t>
            </w:r>
          </w:p>
        </w:tc>
      </w:tr>
      <w:tr w:rsidRPr="001B5166" w:rsidR="008626C1" w:rsidTr="773F6CAB" w14:paraId="1959F47E" w14:textId="77777777">
        <w:tc>
          <w:tcPr>
            <w:tcW w:w="3539" w:type="dxa"/>
            <w:tcMar/>
          </w:tcPr>
          <w:p w:rsidRPr="001B5166" w:rsidR="008626C1" w:rsidRDefault="008626C1" w14:paraId="5637F9C2" w14:textId="2088932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Radar Network</w:t>
            </w:r>
            <w:r w:rsidRPr="001B5166" w:rsidR="003F76E8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2280" w:type="dxa"/>
            <w:tcMar/>
          </w:tcPr>
          <w:p w:rsidRPr="001B5166" w:rsidR="008626C1" w:rsidRDefault="003D1BD2" w14:paraId="3C7566C9" w14:textId="429D2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Pacific Radar Strategy</w:t>
            </w:r>
          </w:p>
        </w:tc>
        <w:tc>
          <w:tcPr>
            <w:tcW w:w="2477" w:type="dxa"/>
            <w:tcMar/>
          </w:tcPr>
          <w:p w:rsidRPr="001B5166" w:rsidR="008626C1" w:rsidP="773F6CAB" w:rsidRDefault="008626C1" w14:paraId="7EF508A7" w14:textId="7FF3EF3A">
            <w:pPr>
              <w:spacing w:line="259" w:lineRule="auto"/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</w:pPr>
            <w:r w:rsidRPr="773F6CAB" w:rsidR="4F8B5B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Endorsed by PICI Panel</w:t>
            </w:r>
          </w:p>
        </w:tc>
      </w:tr>
      <w:tr w:rsidRPr="001B5166" w:rsidR="00020E60" w:rsidTr="773F6CAB" w14:paraId="6DCC53E0" w14:textId="77777777">
        <w:tc>
          <w:tcPr>
            <w:tcW w:w="3539" w:type="dxa"/>
            <w:tcMar/>
          </w:tcPr>
          <w:p w:rsidRPr="001B5166" w:rsidR="00020E60" w:rsidRDefault="00020E60" w14:paraId="4B1F5CD8" w14:textId="3FDEB433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Hydrology and Flood network</w:t>
            </w:r>
          </w:p>
        </w:tc>
        <w:tc>
          <w:tcPr>
            <w:tcW w:w="2280" w:type="dxa"/>
            <w:tcMar/>
          </w:tcPr>
          <w:p w:rsidR="00020E60" w:rsidRDefault="00020E60" w14:paraId="0D39B625" w14:textId="0BE9BB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Pacific Hydrology Strategy</w:t>
            </w:r>
          </w:p>
        </w:tc>
        <w:tc>
          <w:tcPr>
            <w:tcW w:w="2477" w:type="dxa"/>
            <w:tcMar/>
          </w:tcPr>
          <w:p w:rsidRPr="001B5166" w:rsidR="00020E60" w:rsidRDefault="00020E60" w14:paraId="7A0D5D97" w14:textId="0A3D3424">
            <w:pPr>
              <w:rPr>
                <w:rFonts w:ascii="Arial" w:hAnsi="Arial" w:cs="Arial"/>
                <w:sz w:val="20"/>
                <w:szCs w:val="20"/>
              </w:rPr>
            </w:pPr>
            <w:r w:rsidRPr="773F6CAB" w:rsidR="42C9C36D">
              <w:rPr>
                <w:rFonts w:ascii="Arial" w:hAnsi="Arial" w:cs="Arial"/>
                <w:sz w:val="20"/>
                <w:szCs w:val="20"/>
              </w:rPr>
              <w:t>In development (SPC)</w:t>
            </w:r>
          </w:p>
        </w:tc>
      </w:tr>
      <w:tr w:rsidRPr="001B5166" w:rsidR="50E72420" w:rsidTr="773F6CAB" w14:paraId="16F224B3" w14:textId="77777777">
        <w:trPr>
          <w:trHeight w:val="300"/>
        </w:trPr>
        <w:tc>
          <w:tcPr>
            <w:tcW w:w="3539" w:type="dxa"/>
            <w:tcMar/>
          </w:tcPr>
          <w:p w:rsidRPr="001B5166" w:rsidR="7E80799F" w:rsidP="50E72420" w:rsidRDefault="7E80799F" w14:paraId="31BE95D5" w14:textId="0E2DEFF0">
            <w:pPr>
              <w:rPr>
                <w:rFonts w:ascii="Arial" w:hAnsi="Arial" w:cs="Arial"/>
                <w:sz w:val="20"/>
                <w:szCs w:val="20"/>
              </w:rPr>
            </w:pPr>
            <w:r w:rsidRPr="001B5166">
              <w:rPr>
                <w:rFonts w:ascii="Arial" w:hAnsi="Arial" w:cs="Arial"/>
                <w:sz w:val="20"/>
                <w:szCs w:val="20"/>
              </w:rPr>
              <w:t>Seismic Network</w:t>
            </w:r>
          </w:p>
        </w:tc>
        <w:tc>
          <w:tcPr>
            <w:tcW w:w="2280" w:type="dxa"/>
            <w:tcMar/>
          </w:tcPr>
          <w:p w:rsidRPr="001B5166" w:rsidR="618B98C4" w:rsidP="50E72420" w:rsidRDefault="00020E60" w14:paraId="4BA7174A" w14:textId="2E520C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tcMar/>
          </w:tcPr>
          <w:p w:rsidRPr="001B5166" w:rsidR="3C4485CF" w:rsidP="50E72420" w:rsidRDefault="3C4485CF" w14:paraId="3D85AA26" w14:textId="156C5E66">
            <w:pPr>
              <w:rPr>
                <w:rFonts w:ascii="Arial" w:hAnsi="Arial" w:cs="Arial"/>
                <w:sz w:val="20"/>
                <w:szCs w:val="20"/>
              </w:rPr>
            </w:pPr>
            <w:r w:rsidRPr="773F6CAB" w:rsidR="1C0E8DAE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Pr="001B5166" w:rsidR="007D124F" w:rsidTr="773F6CAB" w14:paraId="2302294C" w14:textId="77777777">
        <w:trPr>
          <w:trHeight w:val="300"/>
        </w:trPr>
        <w:tc>
          <w:tcPr>
            <w:tcW w:w="3539" w:type="dxa"/>
            <w:tcMar/>
          </w:tcPr>
          <w:p w:rsidRPr="001B5166" w:rsidR="007D124F" w:rsidP="50E72420" w:rsidRDefault="007D124F" w14:paraId="441C5434" w14:textId="5DA07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ICT Infrastructure</w:t>
            </w:r>
          </w:p>
        </w:tc>
        <w:tc>
          <w:tcPr>
            <w:tcW w:w="2280" w:type="dxa"/>
            <w:tcMar/>
          </w:tcPr>
          <w:p w:rsidRPr="001B5166" w:rsidR="007D124F" w:rsidP="50E72420" w:rsidRDefault="00074799" w14:paraId="0DD72F2D" w14:textId="263A5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Pacific ICT Architecture and Strategy</w:t>
            </w:r>
          </w:p>
        </w:tc>
        <w:tc>
          <w:tcPr>
            <w:tcW w:w="2477" w:type="dxa"/>
            <w:tcMar/>
          </w:tcPr>
          <w:p w:rsidRPr="001B5166" w:rsidR="007D124F" w:rsidP="773F6CAB" w:rsidRDefault="007D124F" w14:paraId="4BAA430F" w14:textId="42DBA027">
            <w:pPr>
              <w:rPr>
                <w:rFonts w:ascii="Arial" w:hAnsi="Arial" w:cs="Arial"/>
                <w:sz w:val="20"/>
                <w:szCs w:val="20"/>
              </w:rPr>
            </w:pPr>
            <w:r w:rsidRPr="773F6CAB" w:rsidR="3E1A3270">
              <w:rPr>
                <w:rFonts w:ascii="Arial" w:hAnsi="Arial" w:cs="Arial"/>
                <w:sz w:val="20"/>
                <w:szCs w:val="20"/>
              </w:rPr>
              <w:t>In Development</w:t>
            </w:r>
          </w:p>
          <w:p w:rsidRPr="001B5166" w:rsidR="007D124F" w:rsidP="50E72420" w:rsidRDefault="007D124F" w14:paraId="1339947D" w14:textId="3D949A02">
            <w:pPr>
              <w:rPr>
                <w:rFonts w:ascii="Arial" w:hAnsi="Arial" w:cs="Arial"/>
                <w:sz w:val="20"/>
                <w:szCs w:val="20"/>
              </w:rPr>
            </w:pPr>
            <w:r w:rsidRPr="773F6CAB" w:rsidR="3E1A3270">
              <w:rPr>
                <w:rFonts w:ascii="Arial" w:hAnsi="Arial" w:cs="Arial"/>
                <w:sz w:val="20"/>
                <w:szCs w:val="20"/>
              </w:rPr>
              <w:t>Prelim ICT Architecture endorsed by PICI Panel</w:t>
            </w:r>
          </w:p>
        </w:tc>
      </w:tr>
      <w:tr w:rsidRPr="001B5166" w:rsidR="007D124F" w:rsidTr="773F6CAB" w14:paraId="7A8649A8" w14:textId="77777777">
        <w:trPr>
          <w:trHeight w:val="300"/>
        </w:trPr>
        <w:tc>
          <w:tcPr>
            <w:tcW w:w="3539" w:type="dxa"/>
            <w:tcMar/>
          </w:tcPr>
          <w:p w:rsidR="007D124F" w:rsidP="50E72420" w:rsidRDefault="007D124F" w14:paraId="49E8106C" w14:textId="0A0FAD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Buildings</w:t>
            </w:r>
          </w:p>
        </w:tc>
        <w:tc>
          <w:tcPr>
            <w:tcW w:w="2280" w:type="dxa"/>
            <w:tcMar/>
          </w:tcPr>
          <w:p w:rsidRPr="001B5166" w:rsidR="007D124F" w:rsidP="50E72420" w:rsidRDefault="007D124F" w14:paraId="66CACA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7" w:type="dxa"/>
            <w:tcMar/>
          </w:tcPr>
          <w:p w:rsidRPr="001B5166" w:rsidR="007D124F" w:rsidP="50E72420" w:rsidRDefault="007D124F" w14:paraId="0CB79971" w14:textId="3182927C">
            <w:pPr>
              <w:rPr>
                <w:rFonts w:ascii="Arial" w:hAnsi="Arial" w:cs="Arial"/>
                <w:sz w:val="20"/>
                <w:szCs w:val="20"/>
              </w:rPr>
            </w:pPr>
            <w:r w:rsidRPr="773F6CAB" w:rsidR="0648ED78">
              <w:rPr>
                <w:rFonts w:ascii="Arial" w:hAnsi="Arial" w:cs="Arial"/>
                <w:sz w:val="20"/>
                <w:szCs w:val="20"/>
              </w:rPr>
              <w:t>NYC</w:t>
            </w:r>
          </w:p>
        </w:tc>
      </w:tr>
    </w:tbl>
    <w:p w:rsidR="773F6CAB" w:rsidRDefault="773F6CAB" w14:paraId="05C0915A" w14:textId="35A6220C"/>
    <w:p w:rsidR="00EA49AA" w:rsidP="007B3F7C" w:rsidRDefault="00EA49AA" w14:paraId="43C79B1E" w14:textId="77777777">
      <w:pPr>
        <w:pStyle w:val="Heading1"/>
        <w:rPr>
          <w:rFonts w:ascii="Arial" w:hAnsi="Arial" w:cs="Arial"/>
        </w:rPr>
        <w:sectPr w:rsidR="00EA49AA" w:rsidSect="00B072C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orient="portrait" w:code="9"/>
          <w:pgMar w:top="1440" w:right="1800" w:bottom="1440" w:left="1800" w:header="720" w:footer="720" w:gutter="0"/>
          <w:cols w:space="720"/>
          <w:docGrid w:linePitch="360"/>
        </w:sectPr>
      </w:pPr>
    </w:p>
    <w:p w:rsidR="0079138D" w:rsidP="00064B57" w:rsidRDefault="002404E9" w14:paraId="07B6F8A7" w14:textId="5B3226F8">
      <w:pPr>
        <w:pStyle w:val="Heading1"/>
        <w:rPr>
          <w:rFonts w:ascii="Arial" w:hAnsi="Arial" w:cs="Arial"/>
        </w:rPr>
      </w:pPr>
      <w:r w:rsidRPr="00E05C48">
        <w:rPr>
          <w:rFonts w:ascii="Arial" w:hAnsi="Arial" w:cs="Arial"/>
        </w:rPr>
        <w:t>Appendix</w:t>
      </w:r>
      <w:r w:rsidRPr="00E05C48" w:rsidR="008626C1">
        <w:rPr>
          <w:rFonts w:ascii="Arial" w:hAnsi="Arial" w:cs="Arial"/>
        </w:rPr>
        <w:t xml:space="preserve"> B – </w:t>
      </w:r>
      <w:r w:rsidR="00F624A3">
        <w:rPr>
          <w:rFonts w:ascii="Arial" w:hAnsi="Arial" w:cs="Arial"/>
        </w:rPr>
        <w:t>Sustainable Financing and Asset Management Roadmap</w:t>
      </w:r>
    </w:p>
    <w:p w:rsidR="00EA49AA" w:rsidP="005A0C25" w:rsidRDefault="00E5490E" w14:paraId="5B96A018" w14:textId="74EE1EFA">
      <w:pPr>
        <w:sectPr w:rsidR="00EA49AA" w:rsidSect="00EA49AA">
          <w:pgSz w:w="16838" w:h="11906" w:orient="landscape" w:code="9"/>
          <w:pgMar w:top="1797" w:right="1440" w:bottom="1797" w:left="1440" w:header="720" w:footer="720" w:gutter="0"/>
          <w:cols w:space="720"/>
          <w:docGrid w:linePitch="360"/>
        </w:sectPr>
      </w:pPr>
      <w:r w:rsidRPr="00E5490E">
        <w:rPr>
          <w:noProof/>
        </w:rPr>
        <w:drawing>
          <wp:inline distT="0" distB="0" distL="0" distR="0" wp14:anchorId="2866F4F3" wp14:editId="571CA90A">
            <wp:extent cx="8798995" cy="4524375"/>
            <wp:effectExtent l="0" t="0" r="2540" b="0"/>
            <wp:docPr id="297644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4422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07352" cy="452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05C48" w:rsidR="00F5405D" w:rsidRDefault="002404E9" w14:paraId="6D3DD94C" w14:textId="725EFAF7">
      <w:pPr>
        <w:pStyle w:val="Heading1"/>
        <w:rPr>
          <w:rFonts w:ascii="Arial" w:hAnsi="Arial" w:eastAsia="Times New Roman" w:cs="Arial"/>
          <w:kern w:val="36"/>
        </w:rPr>
      </w:pPr>
      <w:r w:rsidRPr="773F6CAB" w:rsidR="002404E9">
        <w:rPr>
          <w:rFonts w:ascii="Arial" w:hAnsi="Arial" w:eastAsia="Times New Roman" w:cs="Arial"/>
        </w:rPr>
        <w:t>Appendix</w:t>
      </w:r>
      <w:r w:rsidRPr="773F6CAB" w:rsidR="00F5405D">
        <w:rPr>
          <w:rFonts w:ascii="Arial" w:hAnsi="Arial" w:eastAsia="Times New Roman" w:cs="Arial"/>
        </w:rPr>
        <w:t xml:space="preserve"> C – </w:t>
      </w:r>
      <w:r w:rsidRPr="773F6CAB" w:rsidR="008D4831">
        <w:rPr>
          <w:rFonts w:ascii="Arial" w:hAnsi="Arial" w:eastAsia="Times New Roman" w:cs="Arial"/>
        </w:rPr>
        <w:t xml:space="preserve">Pacific </w:t>
      </w:r>
      <w:r w:rsidRPr="773F6CAB" w:rsidR="158A40B2">
        <w:rPr>
          <w:rFonts w:ascii="Arial" w:hAnsi="Arial" w:eastAsia="Times New Roman" w:cs="Arial"/>
        </w:rPr>
        <w:t xml:space="preserve">Regional </w:t>
      </w:r>
      <w:r w:rsidRPr="773F6CAB" w:rsidR="008D4831">
        <w:rPr>
          <w:rFonts w:ascii="Arial" w:hAnsi="Arial" w:eastAsia="Times New Roman" w:cs="Arial"/>
        </w:rPr>
        <w:t>Observing</w:t>
      </w:r>
      <w:r w:rsidRPr="773F6CAB" w:rsidR="71BB1440">
        <w:rPr>
          <w:rFonts w:ascii="Arial" w:hAnsi="Arial" w:eastAsia="Times New Roman" w:cs="Arial"/>
        </w:rPr>
        <w:t xml:space="preserve"> (PRO)</w:t>
      </w:r>
      <w:r w:rsidRPr="773F6CAB" w:rsidR="008D4831">
        <w:rPr>
          <w:rFonts w:ascii="Arial" w:hAnsi="Arial" w:eastAsia="Times New Roman" w:cs="Arial"/>
        </w:rPr>
        <w:t xml:space="preserve"> Network</w:t>
      </w:r>
    </w:p>
    <w:p w:rsidRPr="00E05C48" w:rsidR="00026B4F" w:rsidRDefault="00026B4F" w14:paraId="2A86039C" w14:textId="77777777">
      <w:pPr>
        <w:rPr>
          <w:rFonts w:ascii="Arial" w:hAnsi="Arial" w:cs="Arial"/>
          <w:b/>
          <w:bCs/>
        </w:rPr>
      </w:pPr>
    </w:p>
    <w:p w:rsidR="007B3F7C" w:rsidP="773F6CAB" w:rsidRDefault="007B3F7C" w14:paraId="62ABE543" w14:textId="41D6E0B7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</w:rPr>
      </w:pPr>
      <w:r w:rsidRPr="773F6CAB" w:rsidR="3B8C7A32">
        <w:rPr>
          <w:rFonts w:ascii="Arial" w:hAnsi="Arial" w:eastAsia="Arial" w:cs="Arial"/>
        </w:rPr>
        <w:t xml:space="preserve">To be </w:t>
      </w:r>
      <w:r w:rsidRPr="773F6CAB" w:rsidR="372ABF3E">
        <w:rPr>
          <w:rFonts w:ascii="Arial" w:hAnsi="Arial" w:eastAsia="Arial" w:cs="Arial"/>
        </w:rPr>
        <w:t>defined through the development of National Asset Plans</w:t>
      </w:r>
    </w:p>
    <w:p w:rsidRPr="00E05C48" w:rsidR="00D640A9" w:rsidP="00D640A9" w:rsidRDefault="00D640A9" w14:paraId="148C674A" w14:textId="42D3F109">
      <w:pPr>
        <w:pStyle w:val="Heading1"/>
        <w:rPr>
          <w:rFonts w:ascii="Arial" w:hAnsi="Arial" w:eastAsia="Times New Roman" w:cs="Arial"/>
          <w:kern w:val="36"/>
        </w:rPr>
      </w:pPr>
      <w:r w:rsidRPr="00E05C48">
        <w:rPr>
          <w:rFonts w:ascii="Arial" w:hAnsi="Arial" w:eastAsia="Times New Roman" w:cs="Arial"/>
        </w:rPr>
        <w:t xml:space="preserve">Appendix </w:t>
      </w:r>
      <w:r>
        <w:rPr>
          <w:rFonts w:ascii="Arial" w:hAnsi="Arial" w:eastAsia="Times New Roman" w:cs="Arial"/>
        </w:rPr>
        <w:t>D</w:t>
      </w:r>
      <w:r w:rsidRPr="00E05C48">
        <w:rPr>
          <w:rFonts w:ascii="Arial" w:hAnsi="Arial" w:eastAsia="Times New Roman" w:cs="Arial"/>
        </w:rPr>
        <w:t xml:space="preserve"> – </w:t>
      </w:r>
      <w:r>
        <w:rPr>
          <w:rFonts w:ascii="Arial" w:hAnsi="Arial" w:eastAsia="Times New Roman" w:cs="Arial"/>
        </w:rPr>
        <w:t>Maintenance Agreement Template</w:t>
      </w:r>
    </w:p>
    <w:p w:rsidR="00D640A9" w:rsidRDefault="00D640A9" w14:paraId="4F874C71" w14:textId="77777777"/>
    <w:p w:rsidR="7981F930" w:rsidP="773F6CAB" w:rsidRDefault="7981F930" w14:paraId="1BB1C5A1" w14:textId="008957EF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</w:rPr>
      </w:pPr>
      <w:r w:rsidRPr="773F6CAB" w:rsidR="7981F930">
        <w:rPr>
          <w:rFonts w:ascii="Arial" w:hAnsi="Arial" w:eastAsia="Arial" w:cs="Arial"/>
        </w:rPr>
        <w:t xml:space="preserve">To be developed </w:t>
      </w:r>
    </w:p>
    <w:p w:rsidR="773F6CAB" w:rsidRDefault="773F6CAB" w14:paraId="3637739B" w14:textId="79EA9842"/>
    <w:sectPr w:rsidR="00D640A9" w:rsidSect="00B072CC">
      <w:pgSz w:w="11906" w:h="16838" w:orient="portrait" w:code="9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1D4" w:rsidP="00B34F61" w:rsidRDefault="002831D4" w14:paraId="5E2AD4CE" w14:textId="77777777">
      <w:pPr>
        <w:spacing w:after="0" w:line="240" w:lineRule="auto"/>
      </w:pPr>
      <w:r>
        <w:separator/>
      </w:r>
    </w:p>
  </w:endnote>
  <w:endnote w:type="continuationSeparator" w:id="0">
    <w:p w:rsidR="002831D4" w:rsidP="00B34F61" w:rsidRDefault="002831D4" w14:paraId="3154CC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34F61" w:rsidRDefault="00B34F61" w14:paraId="437C1CE5" w14:textId="34309D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8139864" wp14:editId="1C921B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2153638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34F61" w:rsidR="00B34F61" w:rsidP="00B34F61" w:rsidRDefault="00B34F61" w14:paraId="4A3CA4AE" w14:textId="138675F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 w14:anchorId="254DFA12">
            <v:shapetype id="_x0000_t202" coordsize="21600,21600" o:spt="202" path="m,l,21600r21600,l21600,xe" w14:anchorId="48139864">
              <v:stroke joinstyle="miter"/>
              <v:path gradientshapeok="t" o:connecttype="rect"/>
            </v:shapetype>
            <v:shape id="Text Box 5" style="position:absolute;margin-left:0;margin-top:0;width:36.2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>
              <v:textbox style="mso-fit-shape-to-text:t" inset="0,0,0,15pt">
                <w:txbxContent>
                  <w:p w:rsidRPr="00B34F61" w:rsidR="00B34F61" w:rsidP="00B34F61" w:rsidRDefault="00B34F61" w14:paraId="09E77742" w14:textId="138675F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34F61" w:rsidRDefault="00B34F61" w14:paraId="7F0C446B" w14:textId="0D550B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2A7D9AA" wp14:editId="073A0FD1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68117636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34F61" w:rsidR="00B34F61" w:rsidP="00B34F61" w:rsidRDefault="00B34F61" w14:paraId="7BA4C176" w14:textId="7A9ECA7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 w14:anchorId="59C9D1ED">
            <v:shapetype id="_x0000_t202" coordsize="21600,21600" o:spt="202" path="m,l,21600r21600,l21600,xe" w14:anchorId="12A7D9AA">
              <v:stroke joinstyle="miter"/>
              <v:path gradientshapeok="t" o:connecttype="rect"/>
            </v:shapetype>
            <v:shape id="Text Box 6" style="position:absolute;margin-left:0;margin-top:0;width:36.2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eA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Fh+7r6A+4lAOhn17y9ctlt4wH16YwwVjtyja&#10;8IyHVNCVFE4WJQ24H3/zx3zkHaOUdCiYkhpUNCXqm8F9RG2NhhuNKhnTeT7LMW72+gFQhlN8EZYn&#10;E70uqNGUDvQbynkVC2GIGY7lSlqN5kMYlIvPgYvVKiWhjCwLG7O1PEJHuiKXr/0bc/ZEeMBNPcGo&#10;Jla8433IjTe9Xe0Dsp+WEqkdiDwxjhJMaz09l6jxX/9T1uVRL38C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+1ReADgIAABwE&#10;AAAOAAAAAAAAAAAAAAAAAC4CAABkcnMvZTJvRG9jLnhtbFBLAQItABQABgAIAAAAIQBy2TBO2gAA&#10;AAMBAAAPAAAAAAAAAAAAAAAAAGgEAABkcnMvZG93bnJldi54bWxQSwUGAAAAAAQABADzAAAAbwUA&#10;AAAA&#10;">
              <v:textbox style="mso-fit-shape-to-text:t" inset="0,0,0,15pt">
                <w:txbxContent>
                  <w:p w:rsidRPr="00B34F61" w:rsidR="00B34F61" w:rsidP="00B34F61" w:rsidRDefault="00B34F61" w14:paraId="08CE8BEA" w14:textId="7A9ECA7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34F61" w:rsidRDefault="00B34F61" w14:paraId="166A5FF2" w14:textId="4B7FF9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7901F98" wp14:editId="07BA2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66677917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34F61" w:rsidR="00B34F61" w:rsidP="00B34F61" w:rsidRDefault="00B34F61" w14:paraId="6D407A48" w14:textId="5DA004E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 w14:anchorId="40402EAB">
            <v:shapetype id="_x0000_t202" coordsize="21600,21600" o:spt="202" path="m,l,21600r21600,l21600,xe" w14:anchorId="07901F98">
              <v:stroke joinstyle="miter"/>
              <v:path gradientshapeok="t" o:connecttype="rect"/>
            </v:shapetype>
            <v:shape id="Text Box 4" style="position:absolute;margin-left:0;margin-top:0;width:36.2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NBWuA0NAgAAHAQA&#10;AA4AAAAAAAAAAAAAAAAALgIAAGRycy9lMm9Eb2MueG1sUEsBAi0AFAAGAAgAAAAhAHLZME7aAAAA&#10;AwEAAA8AAAAAAAAAAAAAAAAAZwQAAGRycy9kb3ducmV2LnhtbFBLBQYAAAAABAAEAPMAAABuBQAA&#10;AAA=&#10;">
              <v:textbox style="mso-fit-shape-to-text:t" inset="0,0,0,15pt">
                <w:txbxContent>
                  <w:p w:rsidRPr="00B34F61" w:rsidR="00B34F61" w:rsidP="00B34F61" w:rsidRDefault="00B34F61" w14:paraId="17D1F485" w14:textId="5DA004E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1D4" w:rsidP="00B34F61" w:rsidRDefault="002831D4" w14:paraId="5DA5D1C8" w14:textId="77777777">
      <w:pPr>
        <w:spacing w:after="0" w:line="240" w:lineRule="auto"/>
      </w:pPr>
      <w:r>
        <w:separator/>
      </w:r>
    </w:p>
  </w:footnote>
  <w:footnote w:type="continuationSeparator" w:id="0">
    <w:p w:rsidR="002831D4" w:rsidP="00B34F61" w:rsidRDefault="002831D4" w14:paraId="3A1851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34F61" w:rsidRDefault="00B34F61" w14:paraId="461E0BBB" w14:textId="43A8A9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6A2DAB" wp14:editId="344F3A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9371894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34F61" w:rsidR="00B34F61" w:rsidP="00B34F61" w:rsidRDefault="00B34F61" w14:paraId="552868DE" w14:textId="0A4BF61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 w14:anchorId="4ADF6FC4">
            <v:shapetype id="_x0000_t202" coordsize="21600,21600" o:spt="202" path="m,l,21600r21600,l21600,xe" w14:anchorId="386A2DAB">
              <v:stroke joinstyle="miter"/>
              <v:path gradientshapeok="t" o:connecttype="rect"/>
            </v:shapetype>
            <v:shape id="Text Box 2" style="position:absolute;margin-left:0;margin-top:0;width:36.2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>
              <v:textbox style="mso-fit-shape-to-text:t" inset="0,15pt,0,0">
                <w:txbxContent>
                  <w:p w:rsidRPr="00B34F61" w:rsidR="00B34F61" w:rsidP="00B34F61" w:rsidRDefault="00B34F61" w14:paraId="171AAEBA" w14:textId="0A4BF61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34F61" w:rsidRDefault="00B34F61" w14:paraId="7A0FAC64" w14:textId="022FE6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2BD3A9A" wp14:editId="59BA58B5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0971042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34F61" w:rsidR="00B34F61" w:rsidP="00B34F61" w:rsidRDefault="00B34F61" w14:paraId="35534FFD" w14:textId="5830634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 w14:anchorId="65F6B721">
            <v:shapetype id="_x0000_t202" coordsize="21600,21600" o:spt="202" path="m,l,21600r21600,l21600,xe" w14:anchorId="02BD3A9A">
              <v:stroke joinstyle="miter"/>
              <v:path gradientshapeok="t" o:connecttype="rect"/>
            </v:shapetype>
            <v:shape id="Text Box 3" style="position:absolute;margin-left:0;margin-top:0;width:36.2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>
              <v:textbox style="mso-fit-shape-to-text:t" inset="0,15pt,0,0">
                <w:txbxContent>
                  <w:p w:rsidRPr="00B34F61" w:rsidR="00B34F61" w:rsidP="00B34F61" w:rsidRDefault="00B34F61" w14:paraId="75F360E3" w14:textId="5830634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B34F61" w:rsidRDefault="00B34F61" w14:paraId="3CC1ECB1" w14:textId="5BA983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183E91" wp14:editId="1ADAB7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3828924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34F61" w:rsidR="00B34F61" w:rsidP="00B34F61" w:rsidRDefault="00B34F61" w14:paraId="6151279A" w14:textId="01691B3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34F61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 w14:anchorId="33E7987D">
            <v:shapetype id="_x0000_t202" coordsize="21600,21600" o:spt="202" path="m,l,21600r21600,l21600,xe" w14:anchorId="11183E91">
              <v:stroke joinstyle="miter"/>
              <v:path gradientshapeok="t" o:connecttype="rect"/>
            </v:shapetype>
            <v:shape id="Text Box 1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uEDgIAABw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HWkqbGTsfgfVCYdy0O/bW75usPSG+fDCHC4Yu0XR&#10;hmc8pIK2pDBYlNTgfvzNH/ORd4xS0qJgSmpQ0ZSobwb3EbWVjOk8n+V4c6N7NxrmoB8AZTjFF2F5&#10;MmNeUKMpHeg3lPMqFsIQMxzLlTSM5kPolYvPgYvVKiWhjCwLG7O1PEJHuiKXr90bc3YgPOCmnmBU&#10;Eyve8d7nxj+9XR0Csp+WEqntiRwYRwmmtQ7PJWr813vKujzq5U8A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AjLluEDgIAABwE&#10;AAAOAAAAAAAAAAAAAAAAAC4CAABkcnMvZTJvRG9jLnhtbFBLAQItABQABgAIAAAAIQCRKuzx2gAA&#10;AAMBAAAPAAAAAAAAAAAAAAAAAGgEAABkcnMvZG93bnJldi54bWxQSwUGAAAAAAQABADzAAAAbwUA&#10;AAAA&#10;">
              <v:textbox style="mso-fit-shape-to-text:t" inset="0,15pt,0,0">
                <w:txbxContent>
                  <w:p w:rsidRPr="00B34F61" w:rsidR="00B34F61" w:rsidP="00B34F61" w:rsidRDefault="00B34F61" w14:paraId="2CCFEE10" w14:textId="01691B3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34F61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3BA2A2A"/>
    <w:multiLevelType w:val="multilevel"/>
    <w:tmpl w:val="7B0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EAE5C31"/>
    <w:multiLevelType w:val="hybridMultilevel"/>
    <w:tmpl w:val="2FF6375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7670D5"/>
    <w:multiLevelType w:val="hybridMultilevel"/>
    <w:tmpl w:val="7C1479B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86CF0C">
      <w:numFmt w:val="bullet"/>
      <w:lvlText w:val="-"/>
      <w:lvlJc w:val="left"/>
      <w:pPr>
        <w:ind w:left="1440" w:hanging="360"/>
      </w:pPr>
      <w:rPr>
        <w:rFonts w:hint="default" w:ascii="Cambria" w:hAnsi="Cambria" w:eastAsiaTheme="minorEastAsia" w:cstheme="minorBidi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1865F3"/>
    <w:multiLevelType w:val="hybridMultilevel"/>
    <w:tmpl w:val="7100A72E"/>
    <w:lvl w:ilvl="0" w:tplc="02ACC104">
      <w:start w:val="5"/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1C32D9"/>
    <w:multiLevelType w:val="hybridMultilevel"/>
    <w:tmpl w:val="F5EAB8B6"/>
    <w:lvl w:ilvl="0" w:tplc="0C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14" w15:restartNumberingAfterBreak="0">
    <w:nsid w:val="29961461"/>
    <w:multiLevelType w:val="hybridMultilevel"/>
    <w:tmpl w:val="F2124F6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E1A46AF"/>
    <w:multiLevelType w:val="hybridMultilevel"/>
    <w:tmpl w:val="40149C7A"/>
    <w:lvl w:ilvl="0" w:tplc="E03036F8">
      <w:numFmt w:val="bullet"/>
      <w:lvlText w:val="•"/>
      <w:lvlJc w:val="left"/>
      <w:pPr>
        <w:ind w:left="1440" w:hanging="720"/>
      </w:pPr>
      <w:rPr>
        <w:rFonts w:hint="default" w:ascii="Cambria" w:hAnsi="Cambria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ABF6F7A"/>
    <w:multiLevelType w:val="hybridMultilevel"/>
    <w:tmpl w:val="9C5E642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7451EC">
      <w:numFmt w:val="bullet"/>
      <w:lvlText w:val="-"/>
      <w:lvlJc w:val="left"/>
      <w:pPr>
        <w:ind w:left="1440" w:hanging="360"/>
      </w:pPr>
      <w:rPr>
        <w:rFonts w:hint="default" w:ascii="Cambria" w:hAnsi="Cambria" w:eastAsiaTheme="minorEastAsia" w:cstheme="minorBidi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0713E1"/>
    <w:multiLevelType w:val="multilevel"/>
    <w:tmpl w:val="BE6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CAD17D9"/>
    <w:multiLevelType w:val="hybridMultilevel"/>
    <w:tmpl w:val="86E81ABE"/>
    <w:lvl w:ilvl="0" w:tplc="0C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60306C74"/>
    <w:multiLevelType w:val="multilevel"/>
    <w:tmpl w:val="FC7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9D840DE"/>
    <w:multiLevelType w:val="multilevel"/>
    <w:tmpl w:val="71AA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C5C4C41"/>
    <w:multiLevelType w:val="hybridMultilevel"/>
    <w:tmpl w:val="25F487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890381"/>
    <w:multiLevelType w:val="hybridMultilevel"/>
    <w:tmpl w:val="2C7E695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602C0A"/>
    <w:multiLevelType w:val="hybridMultilevel"/>
    <w:tmpl w:val="631EE5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3149640">
    <w:abstractNumId w:val="8"/>
  </w:num>
  <w:num w:numId="2" w16cid:durableId="1219782064">
    <w:abstractNumId w:val="6"/>
  </w:num>
  <w:num w:numId="3" w16cid:durableId="134883258">
    <w:abstractNumId w:val="5"/>
  </w:num>
  <w:num w:numId="4" w16cid:durableId="2117216459">
    <w:abstractNumId w:val="4"/>
  </w:num>
  <w:num w:numId="5" w16cid:durableId="2007974128">
    <w:abstractNumId w:val="7"/>
  </w:num>
  <w:num w:numId="6" w16cid:durableId="201018397">
    <w:abstractNumId w:val="3"/>
  </w:num>
  <w:num w:numId="7" w16cid:durableId="738137028">
    <w:abstractNumId w:val="2"/>
  </w:num>
  <w:num w:numId="8" w16cid:durableId="917250173">
    <w:abstractNumId w:val="1"/>
  </w:num>
  <w:num w:numId="9" w16cid:durableId="1310668583">
    <w:abstractNumId w:val="0"/>
  </w:num>
  <w:num w:numId="10" w16cid:durableId="51583197">
    <w:abstractNumId w:val="23"/>
  </w:num>
  <w:num w:numId="11" w16cid:durableId="1480071535">
    <w:abstractNumId w:val="15"/>
  </w:num>
  <w:num w:numId="12" w16cid:durableId="232206190">
    <w:abstractNumId w:val="17"/>
  </w:num>
  <w:num w:numId="13" w16cid:durableId="1935438115">
    <w:abstractNumId w:val="11"/>
  </w:num>
  <w:num w:numId="14" w16cid:durableId="306666259">
    <w:abstractNumId w:val="18"/>
  </w:num>
  <w:num w:numId="15" w16cid:durableId="77488809">
    <w:abstractNumId w:val="16"/>
  </w:num>
  <w:num w:numId="16" w16cid:durableId="1979339474">
    <w:abstractNumId w:val="10"/>
  </w:num>
  <w:num w:numId="17" w16cid:durableId="1534462545">
    <w:abstractNumId w:val="21"/>
  </w:num>
  <w:num w:numId="18" w16cid:durableId="867059599">
    <w:abstractNumId w:val="12"/>
  </w:num>
  <w:num w:numId="19" w16cid:durableId="1115566364">
    <w:abstractNumId w:val="19"/>
  </w:num>
  <w:num w:numId="20" w16cid:durableId="1932396132">
    <w:abstractNumId w:val="20"/>
  </w:num>
  <w:num w:numId="21" w16cid:durableId="2069261537">
    <w:abstractNumId w:val="9"/>
  </w:num>
  <w:num w:numId="22" w16cid:durableId="2074041721">
    <w:abstractNumId w:val="13"/>
  </w:num>
  <w:num w:numId="23" w16cid:durableId="421296293">
    <w:abstractNumId w:val="14"/>
  </w:num>
  <w:num w:numId="24" w16cid:durableId="1230650588">
    <w:abstractNumId w:val="2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D7F"/>
    <w:rsid w:val="00005384"/>
    <w:rsid w:val="00005A03"/>
    <w:rsid w:val="000104A1"/>
    <w:rsid w:val="0001175E"/>
    <w:rsid w:val="000121CD"/>
    <w:rsid w:val="00013B50"/>
    <w:rsid w:val="00017480"/>
    <w:rsid w:val="0001766D"/>
    <w:rsid w:val="00020881"/>
    <w:rsid w:val="00020E60"/>
    <w:rsid w:val="000210D9"/>
    <w:rsid w:val="00021F7E"/>
    <w:rsid w:val="0002371E"/>
    <w:rsid w:val="00023F4E"/>
    <w:rsid w:val="00024273"/>
    <w:rsid w:val="00026B4F"/>
    <w:rsid w:val="00034616"/>
    <w:rsid w:val="000352D9"/>
    <w:rsid w:val="0003689D"/>
    <w:rsid w:val="000420ED"/>
    <w:rsid w:val="00042FA3"/>
    <w:rsid w:val="000508A8"/>
    <w:rsid w:val="00053A44"/>
    <w:rsid w:val="00054F36"/>
    <w:rsid w:val="0006063C"/>
    <w:rsid w:val="000636B3"/>
    <w:rsid w:val="00064B57"/>
    <w:rsid w:val="00067519"/>
    <w:rsid w:val="00067B41"/>
    <w:rsid w:val="00073E7F"/>
    <w:rsid w:val="0007433C"/>
    <w:rsid w:val="00074799"/>
    <w:rsid w:val="00075831"/>
    <w:rsid w:val="00082370"/>
    <w:rsid w:val="00082D2E"/>
    <w:rsid w:val="00084DC6"/>
    <w:rsid w:val="00085DFE"/>
    <w:rsid w:val="00087FA2"/>
    <w:rsid w:val="00091590"/>
    <w:rsid w:val="00093812"/>
    <w:rsid w:val="000965DB"/>
    <w:rsid w:val="000968B8"/>
    <w:rsid w:val="00096EC9"/>
    <w:rsid w:val="000970B3"/>
    <w:rsid w:val="000A3195"/>
    <w:rsid w:val="000A65E4"/>
    <w:rsid w:val="000B34CD"/>
    <w:rsid w:val="000D0E62"/>
    <w:rsid w:val="000E1913"/>
    <w:rsid w:val="000E3B7F"/>
    <w:rsid w:val="000F203C"/>
    <w:rsid w:val="000F3A69"/>
    <w:rsid w:val="000F61F1"/>
    <w:rsid w:val="00102BE0"/>
    <w:rsid w:val="001037F8"/>
    <w:rsid w:val="00105B5F"/>
    <w:rsid w:val="0010715E"/>
    <w:rsid w:val="00114862"/>
    <w:rsid w:val="0012441E"/>
    <w:rsid w:val="00130A98"/>
    <w:rsid w:val="0013418C"/>
    <w:rsid w:val="001344DD"/>
    <w:rsid w:val="001349E3"/>
    <w:rsid w:val="00137E61"/>
    <w:rsid w:val="00143DB0"/>
    <w:rsid w:val="00147480"/>
    <w:rsid w:val="0015074B"/>
    <w:rsid w:val="00156389"/>
    <w:rsid w:val="00165BBB"/>
    <w:rsid w:val="00174E02"/>
    <w:rsid w:val="001768FB"/>
    <w:rsid w:val="00180AE2"/>
    <w:rsid w:val="001835C7"/>
    <w:rsid w:val="00184847"/>
    <w:rsid w:val="00187119"/>
    <w:rsid w:val="0019428E"/>
    <w:rsid w:val="00195531"/>
    <w:rsid w:val="001A35DB"/>
    <w:rsid w:val="001A5EDD"/>
    <w:rsid w:val="001B278F"/>
    <w:rsid w:val="001B304B"/>
    <w:rsid w:val="001B32F9"/>
    <w:rsid w:val="001B5166"/>
    <w:rsid w:val="001C563E"/>
    <w:rsid w:val="001D317E"/>
    <w:rsid w:val="001D37FE"/>
    <w:rsid w:val="001E14D2"/>
    <w:rsid w:val="001F010B"/>
    <w:rsid w:val="00200B38"/>
    <w:rsid w:val="00200FBA"/>
    <w:rsid w:val="002036F4"/>
    <w:rsid w:val="002045F7"/>
    <w:rsid w:val="00205324"/>
    <w:rsid w:val="00213CD8"/>
    <w:rsid w:val="0021681B"/>
    <w:rsid w:val="002206C5"/>
    <w:rsid w:val="00230B7F"/>
    <w:rsid w:val="002338FB"/>
    <w:rsid w:val="00235577"/>
    <w:rsid w:val="002367B8"/>
    <w:rsid w:val="002404E9"/>
    <w:rsid w:val="00240D9D"/>
    <w:rsid w:val="0024386D"/>
    <w:rsid w:val="00247C95"/>
    <w:rsid w:val="00250AD3"/>
    <w:rsid w:val="00251DFE"/>
    <w:rsid w:val="00251EC3"/>
    <w:rsid w:val="00252AD4"/>
    <w:rsid w:val="00254272"/>
    <w:rsid w:val="002546F6"/>
    <w:rsid w:val="0025649B"/>
    <w:rsid w:val="002564F4"/>
    <w:rsid w:val="00256A28"/>
    <w:rsid w:val="0026117D"/>
    <w:rsid w:val="00273767"/>
    <w:rsid w:val="002747F5"/>
    <w:rsid w:val="00274BF8"/>
    <w:rsid w:val="00276635"/>
    <w:rsid w:val="002831D4"/>
    <w:rsid w:val="00292263"/>
    <w:rsid w:val="0029639D"/>
    <w:rsid w:val="00297D5D"/>
    <w:rsid w:val="002A3389"/>
    <w:rsid w:val="002A7DBA"/>
    <w:rsid w:val="002B61E5"/>
    <w:rsid w:val="002B64A1"/>
    <w:rsid w:val="002C69C5"/>
    <w:rsid w:val="002C7213"/>
    <w:rsid w:val="002C7E8E"/>
    <w:rsid w:val="002D1A39"/>
    <w:rsid w:val="002D4DF5"/>
    <w:rsid w:val="002E1B28"/>
    <w:rsid w:val="002E2053"/>
    <w:rsid w:val="002E31BC"/>
    <w:rsid w:val="002E4F4D"/>
    <w:rsid w:val="002E582D"/>
    <w:rsid w:val="002F072A"/>
    <w:rsid w:val="002F4A5D"/>
    <w:rsid w:val="002F5E30"/>
    <w:rsid w:val="002F7108"/>
    <w:rsid w:val="002F7CB9"/>
    <w:rsid w:val="00303E73"/>
    <w:rsid w:val="00307334"/>
    <w:rsid w:val="00313580"/>
    <w:rsid w:val="00315635"/>
    <w:rsid w:val="003224D8"/>
    <w:rsid w:val="0032314A"/>
    <w:rsid w:val="00324FA2"/>
    <w:rsid w:val="00325516"/>
    <w:rsid w:val="00325B37"/>
    <w:rsid w:val="003260AC"/>
    <w:rsid w:val="0032668B"/>
    <w:rsid w:val="00326F90"/>
    <w:rsid w:val="00336276"/>
    <w:rsid w:val="0033706B"/>
    <w:rsid w:val="00337612"/>
    <w:rsid w:val="003461C0"/>
    <w:rsid w:val="00347438"/>
    <w:rsid w:val="003520F4"/>
    <w:rsid w:val="0035418E"/>
    <w:rsid w:val="00354CD5"/>
    <w:rsid w:val="00362CD4"/>
    <w:rsid w:val="003647E4"/>
    <w:rsid w:val="003664D6"/>
    <w:rsid w:val="00366EB9"/>
    <w:rsid w:val="003670DC"/>
    <w:rsid w:val="00372659"/>
    <w:rsid w:val="00374DE9"/>
    <w:rsid w:val="00380848"/>
    <w:rsid w:val="00381376"/>
    <w:rsid w:val="00381779"/>
    <w:rsid w:val="0038470D"/>
    <w:rsid w:val="00387D54"/>
    <w:rsid w:val="00392A33"/>
    <w:rsid w:val="0039572C"/>
    <w:rsid w:val="003A5965"/>
    <w:rsid w:val="003A7B8C"/>
    <w:rsid w:val="003B2827"/>
    <w:rsid w:val="003B4D06"/>
    <w:rsid w:val="003B50FE"/>
    <w:rsid w:val="003B6B1A"/>
    <w:rsid w:val="003C03D2"/>
    <w:rsid w:val="003C5F66"/>
    <w:rsid w:val="003D1BD2"/>
    <w:rsid w:val="003D2A7A"/>
    <w:rsid w:val="003E2B01"/>
    <w:rsid w:val="003E4A84"/>
    <w:rsid w:val="003E5544"/>
    <w:rsid w:val="003E6042"/>
    <w:rsid w:val="003E745C"/>
    <w:rsid w:val="003F312A"/>
    <w:rsid w:val="003F3781"/>
    <w:rsid w:val="003F76E8"/>
    <w:rsid w:val="00401F6F"/>
    <w:rsid w:val="00405B87"/>
    <w:rsid w:val="00407719"/>
    <w:rsid w:val="00410287"/>
    <w:rsid w:val="0042017E"/>
    <w:rsid w:val="00421743"/>
    <w:rsid w:val="00421969"/>
    <w:rsid w:val="00425B7C"/>
    <w:rsid w:val="004300F0"/>
    <w:rsid w:val="00430F6E"/>
    <w:rsid w:val="00431F1D"/>
    <w:rsid w:val="00432DB7"/>
    <w:rsid w:val="00434349"/>
    <w:rsid w:val="00442435"/>
    <w:rsid w:val="00442A35"/>
    <w:rsid w:val="00442F1C"/>
    <w:rsid w:val="00453AD6"/>
    <w:rsid w:val="00454D30"/>
    <w:rsid w:val="00460EA7"/>
    <w:rsid w:val="00461F9A"/>
    <w:rsid w:val="00463207"/>
    <w:rsid w:val="004646AD"/>
    <w:rsid w:val="00465800"/>
    <w:rsid w:val="004872EB"/>
    <w:rsid w:val="00487740"/>
    <w:rsid w:val="00495CBA"/>
    <w:rsid w:val="004A0322"/>
    <w:rsid w:val="004A045C"/>
    <w:rsid w:val="004A0CC0"/>
    <w:rsid w:val="004A1E29"/>
    <w:rsid w:val="004B01B8"/>
    <w:rsid w:val="004B060A"/>
    <w:rsid w:val="004B38DA"/>
    <w:rsid w:val="004B3F0E"/>
    <w:rsid w:val="004C626F"/>
    <w:rsid w:val="004D512D"/>
    <w:rsid w:val="004D5893"/>
    <w:rsid w:val="004E0942"/>
    <w:rsid w:val="004E5A9C"/>
    <w:rsid w:val="004E7922"/>
    <w:rsid w:val="004F1371"/>
    <w:rsid w:val="004F1D8E"/>
    <w:rsid w:val="004F390E"/>
    <w:rsid w:val="004F733E"/>
    <w:rsid w:val="00503811"/>
    <w:rsid w:val="00511D88"/>
    <w:rsid w:val="00516EC6"/>
    <w:rsid w:val="0051719B"/>
    <w:rsid w:val="00522728"/>
    <w:rsid w:val="00523027"/>
    <w:rsid w:val="00524289"/>
    <w:rsid w:val="00527A12"/>
    <w:rsid w:val="00533AB1"/>
    <w:rsid w:val="00534616"/>
    <w:rsid w:val="00537371"/>
    <w:rsid w:val="00545716"/>
    <w:rsid w:val="00547CB7"/>
    <w:rsid w:val="005513F3"/>
    <w:rsid w:val="0055473C"/>
    <w:rsid w:val="0055516B"/>
    <w:rsid w:val="005556A5"/>
    <w:rsid w:val="00556E3F"/>
    <w:rsid w:val="005620C6"/>
    <w:rsid w:val="00562F38"/>
    <w:rsid w:val="0056668F"/>
    <w:rsid w:val="00571776"/>
    <w:rsid w:val="00574522"/>
    <w:rsid w:val="00575966"/>
    <w:rsid w:val="00577BB7"/>
    <w:rsid w:val="00580A81"/>
    <w:rsid w:val="00583872"/>
    <w:rsid w:val="00583B46"/>
    <w:rsid w:val="00584233"/>
    <w:rsid w:val="00586DFF"/>
    <w:rsid w:val="00587A37"/>
    <w:rsid w:val="005918A8"/>
    <w:rsid w:val="005A0C25"/>
    <w:rsid w:val="005A5C6C"/>
    <w:rsid w:val="005A6938"/>
    <w:rsid w:val="005B2963"/>
    <w:rsid w:val="005B453E"/>
    <w:rsid w:val="005B49DA"/>
    <w:rsid w:val="005B6A49"/>
    <w:rsid w:val="005C6DF9"/>
    <w:rsid w:val="005D2D15"/>
    <w:rsid w:val="005D7D8B"/>
    <w:rsid w:val="005E5A74"/>
    <w:rsid w:val="005E7154"/>
    <w:rsid w:val="005F1F0B"/>
    <w:rsid w:val="005F4374"/>
    <w:rsid w:val="005F7758"/>
    <w:rsid w:val="0060282C"/>
    <w:rsid w:val="0060552D"/>
    <w:rsid w:val="006067EA"/>
    <w:rsid w:val="00606E55"/>
    <w:rsid w:val="00612F96"/>
    <w:rsid w:val="00615379"/>
    <w:rsid w:val="00621EE3"/>
    <w:rsid w:val="006231C6"/>
    <w:rsid w:val="00643540"/>
    <w:rsid w:val="0064743E"/>
    <w:rsid w:val="00653C59"/>
    <w:rsid w:val="006578A1"/>
    <w:rsid w:val="00672CEE"/>
    <w:rsid w:val="00680B70"/>
    <w:rsid w:val="00690DE2"/>
    <w:rsid w:val="00692A8A"/>
    <w:rsid w:val="006A0B93"/>
    <w:rsid w:val="006A1A37"/>
    <w:rsid w:val="006A3FE3"/>
    <w:rsid w:val="006A6EBD"/>
    <w:rsid w:val="006B53BA"/>
    <w:rsid w:val="006B742B"/>
    <w:rsid w:val="006C4429"/>
    <w:rsid w:val="006C47FF"/>
    <w:rsid w:val="006C6AE2"/>
    <w:rsid w:val="006D353A"/>
    <w:rsid w:val="006D3835"/>
    <w:rsid w:val="006D3F7C"/>
    <w:rsid w:val="006D4BB7"/>
    <w:rsid w:val="006D4E31"/>
    <w:rsid w:val="006D4FE9"/>
    <w:rsid w:val="006D58A8"/>
    <w:rsid w:val="006E383C"/>
    <w:rsid w:val="006E44D4"/>
    <w:rsid w:val="006E7F3B"/>
    <w:rsid w:val="006F0A05"/>
    <w:rsid w:val="006F3B0C"/>
    <w:rsid w:val="0070330F"/>
    <w:rsid w:val="007107A4"/>
    <w:rsid w:val="0071448A"/>
    <w:rsid w:val="007149BC"/>
    <w:rsid w:val="007162C5"/>
    <w:rsid w:val="00716E4B"/>
    <w:rsid w:val="0072160A"/>
    <w:rsid w:val="0072310C"/>
    <w:rsid w:val="00725394"/>
    <w:rsid w:val="00725D49"/>
    <w:rsid w:val="00732589"/>
    <w:rsid w:val="00744B0E"/>
    <w:rsid w:val="00744D51"/>
    <w:rsid w:val="0074528A"/>
    <w:rsid w:val="00745AE5"/>
    <w:rsid w:val="007464A8"/>
    <w:rsid w:val="00747AAB"/>
    <w:rsid w:val="00750BBA"/>
    <w:rsid w:val="0075340F"/>
    <w:rsid w:val="007575AC"/>
    <w:rsid w:val="007617B6"/>
    <w:rsid w:val="00765127"/>
    <w:rsid w:val="0077557B"/>
    <w:rsid w:val="007776B6"/>
    <w:rsid w:val="00784440"/>
    <w:rsid w:val="007872D4"/>
    <w:rsid w:val="0079062D"/>
    <w:rsid w:val="00790BAC"/>
    <w:rsid w:val="00790EE1"/>
    <w:rsid w:val="0079138D"/>
    <w:rsid w:val="007913B6"/>
    <w:rsid w:val="00793F1A"/>
    <w:rsid w:val="007971F0"/>
    <w:rsid w:val="007A07B5"/>
    <w:rsid w:val="007A0A67"/>
    <w:rsid w:val="007A2584"/>
    <w:rsid w:val="007A51B8"/>
    <w:rsid w:val="007A5838"/>
    <w:rsid w:val="007A7754"/>
    <w:rsid w:val="007B2F8C"/>
    <w:rsid w:val="007B3F7C"/>
    <w:rsid w:val="007B7647"/>
    <w:rsid w:val="007C2EA9"/>
    <w:rsid w:val="007C45E2"/>
    <w:rsid w:val="007C7F71"/>
    <w:rsid w:val="007D045E"/>
    <w:rsid w:val="007D08E5"/>
    <w:rsid w:val="007D0A2F"/>
    <w:rsid w:val="007D124F"/>
    <w:rsid w:val="007D320B"/>
    <w:rsid w:val="007D4400"/>
    <w:rsid w:val="007D7750"/>
    <w:rsid w:val="007E06C8"/>
    <w:rsid w:val="007F1239"/>
    <w:rsid w:val="007F4305"/>
    <w:rsid w:val="00815310"/>
    <w:rsid w:val="00816EC0"/>
    <w:rsid w:val="00817811"/>
    <w:rsid w:val="00821630"/>
    <w:rsid w:val="00841031"/>
    <w:rsid w:val="00845084"/>
    <w:rsid w:val="00845484"/>
    <w:rsid w:val="008455E5"/>
    <w:rsid w:val="00852FB3"/>
    <w:rsid w:val="00856532"/>
    <w:rsid w:val="00857D1B"/>
    <w:rsid w:val="008626C1"/>
    <w:rsid w:val="00865E20"/>
    <w:rsid w:val="00872417"/>
    <w:rsid w:val="0087363C"/>
    <w:rsid w:val="008753FE"/>
    <w:rsid w:val="00881A55"/>
    <w:rsid w:val="00893050"/>
    <w:rsid w:val="00895545"/>
    <w:rsid w:val="008964F9"/>
    <w:rsid w:val="008A0943"/>
    <w:rsid w:val="008A2DB9"/>
    <w:rsid w:val="008A3354"/>
    <w:rsid w:val="008A5250"/>
    <w:rsid w:val="008B3411"/>
    <w:rsid w:val="008B67E9"/>
    <w:rsid w:val="008C4FE1"/>
    <w:rsid w:val="008D3213"/>
    <w:rsid w:val="008D376F"/>
    <w:rsid w:val="008D42FF"/>
    <w:rsid w:val="008D4831"/>
    <w:rsid w:val="008E18ED"/>
    <w:rsid w:val="008E3268"/>
    <w:rsid w:val="008E5920"/>
    <w:rsid w:val="008F1CB0"/>
    <w:rsid w:val="008F4EE3"/>
    <w:rsid w:val="008F55E6"/>
    <w:rsid w:val="00901301"/>
    <w:rsid w:val="0090213F"/>
    <w:rsid w:val="0090326A"/>
    <w:rsid w:val="00903CCB"/>
    <w:rsid w:val="0090622F"/>
    <w:rsid w:val="00910201"/>
    <w:rsid w:val="00911EE4"/>
    <w:rsid w:val="00915B85"/>
    <w:rsid w:val="00917FEB"/>
    <w:rsid w:val="00920EE2"/>
    <w:rsid w:val="00927E49"/>
    <w:rsid w:val="0093171D"/>
    <w:rsid w:val="00931FEC"/>
    <w:rsid w:val="009371F0"/>
    <w:rsid w:val="009407BA"/>
    <w:rsid w:val="00943308"/>
    <w:rsid w:val="00943769"/>
    <w:rsid w:val="0095470A"/>
    <w:rsid w:val="00957AFF"/>
    <w:rsid w:val="00963396"/>
    <w:rsid w:val="00965060"/>
    <w:rsid w:val="009655BF"/>
    <w:rsid w:val="0096725C"/>
    <w:rsid w:val="009709D6"/>
    <w:rsid w:val="009728D4"/>
    <w:rsid w:val="009801D7"/>
    <w:rsid w:val="009805F9"/>
    <w:rsid w:val="00981BEC"/>
    <w:rsid w:val="009843F5"/>
    <w:rsid w:val="009855D2"/>
    <w:rsid w:val="00992FB3"/>
    <w:rsid w:val="00996F53"/>
    <w:rsid w:val="009A0A34"/>
    <w:rsid w:val="009A339C"/>
    <w:rsid w:val="009A4C7D"/>
    <w:rsid w:val="009A660D"/>
    <w:rsid w:val="009B3436"/>
    <w:rsid w:val="009B435C"/>
    <w:rsid w:val="009C3923"/>
    <w:rsid w:val="009C49CE"/>
    <w:rsid w:val="009C7926"/>
    <w:rsid w:val="009D0625"/>
    <w:rsid w:val="009D7780"/>
    <w:rsid w:val="009E0143"/>
    <w:rsid w:val="009E1036"/>
    <w:rsid w:val="009E19FD"/>
    <w:rsid w:val="009E3A1F"/>
    <w:rsid w:val="009F3A81"/>
    <w:rsid w:val="009F435A"/>
    <w:rsid w:val="00A04FB8"/>
    <w:rsid w:val="00A07C96"/>
    <w:rsid w:val="00A10793"/>
    <w:rsid w:val="00A11716"/>
    <w:rsid w:val="00A1335C"/>
    <w:rsid w:val="00A14A3B"/>
    <w:rsid w:val="00A17A9E"/>
    <w:rsid w:val="00A21807"/>
    <w:rsid w:val="00A220B5"/>
    <w:rsid w:val="00A268A3"/>
    <w:rsid w:val="00A329DC"/>
    <w:rsid w:val="00A40D2A"/>
    <w:rsid w:val="00A424C9"/>
    <w:rsid w:val="00A425EF"/>
    <w:rsid w:val="00A464A9"/>
    <w:rsid w:val="00A46729"/>
    <w:rsid w:val="00A50142"/>
    <w:rsid w:val="00A50D51"/>
    <w:rsid w:val="00A525A3"/>
    <w:rsid w:val="00A52E35"/>
    <w:rsid w:val="00A549E3"/>
    <w:rsid w:val="00A603AB"/>
    <w:rsid w:val="00A726BA"/>
    <w:rsid w:val="00A72E77"/>
    <w:rsid w:val="00A777EF"/>
    <w:rsid w:val="00A87AFB"/>
    <w:rsid w:val="00A973E6"/>
    <w:rsid w:val="00A97B71"/>
    <w:rsid w:val="00AA1C83"/>
    <w:rsid w:val="00AA1D8D"/>
    <w:rsid w:val="00AA2F96"/>
    <w:rsid w:val="00AB01FC"/>
    <w:rsid w:val="00AB6B60"/>
    <w:rsid w:val="00AC01BE"/>
    <w:rsid w:val="00AC2C82"/>
    <w:rsid w:val="00AC5C15"/>
    <w:rsid w:val="00AD568A"/>
    <w:rsid w:val="00AE2CFD"/>
    <w:rsid w:val="00AF03F7"/>
    <w:rsid w:val="00AF084F"/>
    <w:rsid w:val="00AF4B6C"/>
    <w:rsid w:val="00AF5771"/>
    <w:rsid w:val="00AF7C32"/>
    <w:rsid w:val="00B003FA"/>
    <w:rsid w:val="00B039D5"/>
    <w:rsid w:val="00B04111"/>
    <w:rsid w:val="00B072CC"/>
    <w:rsid w:val="00B114F5"/>
    <w:rsid w:val="00B25B42"/>
    <w:rsid w:val="00B27B6B"/>
    <w:rsid w:val="00B30859"/>
    <w:rsid w:val="00B32260"/>
    <w:rsid w:val="00B32929"/>
    <w:rsid w:val="00B32A1B"/>
    <w:rsid w:val="00B3355C"/>
    <w:rsid w:val="00B34F61"/>
    <w:rsid w:val="00B358FC"/>
    <w:rsid w:val="00B35B20"/>
    <w:rsid w:val="00B35CAC"/>
    <w:rsid w:val="00B37E5D"/>
    <w:rsid w:val="00B4191A"/>
    <w:rsid w:val="00B47730"/>
    <w:rsid w:val="00B51D9D"/>
    <w:rsid w:val="00B523BE"/>
    <w:rsid w:val="00B55012"/>
    <w:rsid w:val="00B558AD"/>
    <w:rsid w:val="00B55ED4"/>
    <w:rsid w:val="00B561CE"/>
    <w:rsid w:val="00B57927"/>
    <w:rsid w:val="00B60788"/>
    <w:rsid w:val="00B71098"/>
    <w:rsid w:val="00B711A2"/>
    <w:rsid w:val="00B73356"/>
    <w:rsid w:val="00B7377E"/>
    <w:rsid w:val="00B76120"/>
    <w:rsid w:val="00B806A3"/>
    <w:rsid w:val="00B80A07"/>
    <w:rsid w:val="00B819E5"/>
    <w:rsid w:val="00B82A83"/>
    <w:rsid w:val="00B8544C"/>
    <w:rsid w:val="00B8617B"/>
    <w:rsid w:val="00B912E8"/>
    <w:rsid w:val="00B94C9C"/>
    <w:rsid w:val="00BA256F"/>
    <w:rsid w:val="00BA4BBB"/>
    <w:rsid w:val="00BB0438"/>
    <w:rsid w:val="00BB3F59"/>
    <w:rsid w:val="00BB7AB1"/>
    <w:rsid w:val="00BC4F2E"/>
    <w:rsid w:val="00BD13F4"/>
    <w:rsid w:val="00BE0190"/>
    <w:rsid w:val="00BF14BE"/>
    <w:rsid w:val="00BF14FF"/>
    <w:rsid w:val="00BF5C49"/>
    <w:rsid w:val="00BF6DEC"/>
    <w:rsid w:val="00C0151E"/>
    <w:rsid w:val="00C017ED"/>
    <w:rsid w:val="00C22676"/>
    <w:rsid w:val="00C244F4"/>
    <w:rsid w:val="00C32837"/>
    <w:rsid w:val="00C341A7"/>
    <w:rsid w:val="00C360F3"/>
    <w:rsid w:val="00C362D8"/>
    <w:rsid w:val="00C36A12"/>
    <w:rsid w:val="00C36E37"/>
    <w:rsid w:val="00C4134D"/>
    <w:rsid w:val="00C43516"/>
    <w:rsid w:val="00C44F41"/>
    <w:rsid w:val="00C466FB"/>
    <w:rsid w:val="00C46C13"/>
    <w:rsid w:val="00C54CC4"/>
    <w:rsid w:val="00C570DA"/>
    <w:rsid w:val="00C65CB2"/>
    <w:rsid w:val="00C665B3"/>
    <w:rsid w:val="00C6733C"/>
    <w:rsid w:val="00C6797B"/>
    <w:rsid w:val="00C700AF"/>
    <w:rsid w:val="00C8140A"/>
    <w:rsid w:val="00C869D9"/>
    <w:rsid w:val="00C913C0"/>
    <w:rsid w:val="00C929A4"/>
    <w:rsid w:val="00C9580D"/>
    <w:rsid w:val="00C964EC"/>
    <w:rsid w:val="00CA390C"/>
    <w:rsid w:val="00CA4B39"/>
    <w:rsid w:val="00CA7665"/>
    <w:rsid w:val="00CB0664"/>
    <w:rsid w:val="00CB279B"/>
    <w:rsid w:val="00CB4130"/>
    <w:rsid w:val="00CB55D1"/>
    <w:rsid w:val="00CC06CB"/>
    <w:rsid w:val="00CC4FD8"/>
    <w:rsid w:val="00CD1952"/>
    <w:rsid w:val="00CE1B38"/>
    <w:rsid w:val="00CE3B3A"/>
    <w:rsid w:val="00CE686F"/>
    <w:rsid w:val="00CF0333"/>
    <w:rsid w:val="00CF3C43"/>
    <w:rsid w:val="00CF51F7"/>
    <w:rsid w:val="00CF7004"/>
    <w:rsid w:val="00D022AF"/>
    <w:rsid w:val="00D037C7"/>
    <w:rsid w:val="00D04F4C"/>
    <w:rsid w:val="00D062D1"/>
    <w:rsid w:val="00D10C87"/>
    <w:rsid w:val="00D1659C"/>
    <w:rsid w:val="00D176CF"/>
    <w:rsid w:val="00D2363E"/>
    <w:rsid w:val="00D24A49"/>
    <w:rsid w:val="00D26A42"/>
    <w:rsid w:val="00D27F37"/>
    <w:rsid w:val="00D43288"/>
    <w:rsid w:val="00D43F46"/>
    <w:rsid w:val="00D45B74"/>
    <w:rsid w:val="00D4705C"/>
    <w:rsid w:val="00D50E47"/>
    <w:rsid w:val="00D535FE"/>
    <w:rsid w:val="00D5509B"/>
    <w:rsid w:val="00D57754"/>
    <w:rsid w:val="00D640A9"/>
    <w:rsid w:val="00D64E09"/>
    <w:rsid w:val="00D72941"/>
    <w:rsid w:val="00D744FB"/>
    <w:rsid w:val="00D77506"/>
    <w:rsid w:val="00D808C7"/>
    <w:rsid w:val="00D82570"/>
    <w:rsid w:val="00D86E94"/>
    <w:rsid w:val="00D91FA0"/>
    <w:rsid w:val="00D9241E"/>
    <w:rsid w:val="00D96D3C"/>
    <w:rsid w:val="00DA5A07"/>
    <w:rsid w:val="00DA7DDD"/>
    <w:rsid w:val="00DB4F09"/>
    <w:rsid w:val="00DB5E1F"/>
    <w:rsid w:val="00DC0F42"/>
    <w:rsid w:val="00DC2CBF"/>
    <w:rsid w:val="00DC4C90"/>
    <w:rsid w:val="00DC5A6B"/>
    <w:rsid w:val="00DD0451"/>
    <w:rsid w:val="00DD0750"/>
    <w:rsid w:val="00DD0BC4"/>
    <w:rsid w:val="00DD1126"/>
    <w:rsid w:val="00DD3B35"/>
    <w:rsid w:val="00DD4AAC"/>
    <w:rsid w:val="00DD5D35"/>
    <w:rsid w:val="00DD5DC0"/>
    <w:rsid w:val="00DE3CF7"/>
    <w:rsid w:val="00DE436F"/>
    <w:rsid w:val="00DE5828"/>
    <w:rsid w:val="00DE7324"/>
    <w:rsid w:val="00DF13CE"/>
    <w:rsid w:val="00DF2E81"/>
    <w:rsid w:val="00DF4784"/>
    <w:rsid w:val="00DF73CD"/>
    <w:rsid w:val="00E001AC"/>
    <w:rsid w:val="00E01405"/>
    <w:rsid w:val="00E02846"/>
    <w:rsid w:val="00E02F3D"/>
    <w:rsid w:val="00E04A44"/>
    <w:rsid w:val="00E05C48"/>
    <w:rsid w:val="00E10586"/>
    <w:rsid w:val="00E10720"/>
    <w:rsid w:val="00E13429"/>
    <w:rsid w:val="00E14518"/>
    <w:rsid w:val="00E169E6"/>
    <w:rsid w:val="00E22F1D"/>
    <w:rsid w:val="00E23E85"/>
    <w:rsid w:val="00E25954"/>
    <w:rsid w:val="00E26618"/>
    <w:rsid w:val="00E45EC9"/>
    <w:rsid w:val="00E5371C"/>
    <w:rsid w:val="00E53905"/>
    <w:rsid w:val="00E53C9A"/>
    <w:rsid w:val="00E5490E"/>
    <w:rsid w:val="00E6306B"/>
    <w:rsid w:val="00E7121F"/>
    <w:rsid w:val="00E748AD"/>
    <w:rsid w:val="00E748EF"/>
    <w:rsid w:val="00E75305"/>
    <w:rsid w:val="00E7733B"/>
    <w:rsid w:val="00E77843"/>
    <w:rsid w:val="00E779E1"/>
    <w:rsid w:val="00E818C9"/>
    <w:rsid w:val="00E85385"/>
    <w:rsid w:val="00E90382"/>
    <w:rsid w:val="00EA103C"/>
    <w:rsid w:val="00EA1B3F"/>
    <w:rsid w:val="00EA257D"/>
    <w:rsid w:val="00EA49AA"/>
    <w:rsid w:val="00EA6502"/>
    <w:rsid w:val="00EA6FA2"/>
    <w:rsid w:val="00EB1A49"/>
    <w:rsid w:val="00EB3099"/>
    <w:rsid w:val="00EB32AB"/>
    <w:rsid w:val="00EC0928"/>
    <w:rsid w:val="00EC2D28"/>
    <w:rsid w:val="00ED4173"/>
    <w:rsid w:val="00ED5FC2"/>
    <w:rsid w:val="00EE7DDD"/>
    <w:rsid w:val="00EF386D"/>
    <w:rsid w:val="00EF4613"/>
    <w:rsid w:val="00F00624"/>
    <w:rsid w:val="00F01307"/>
    <w:rsid w:val="00F043E0"/>
    <w:rsid w:val="00F04BBA"/>
    <w:rsid w:val="00F109BE"/>
    <w:rsid w:val="00F13A7D"/>
    <w:rsid w:val="00F2057A"/>
    <w:rsid w:val="00F24F30"/>
    <w:rsid w:val="00F26250"/>
    <w:rsid w:val="00F322B1"/>
    <w:rsid w:val="00F33829"/>
    <w:rsid w:val="00F36CD3"/>
    <w:rsid w:val="00F36F9D"/>
    <w:rsid w:val="00F404BB"/>
    <w:rsid w:val="00F41391"/>
    <w:rsid w:val="00F44E77"/>
    <w:rsid w:val="00F45CE8"/>
    <w:rsid w:val="00F5405D"/>
    <w:rsid w:val="00F54D63"/>
    <w:rsid w:val="00F5636E"/>
    <w:rsid w:val="00F56643"/>
    <w:rsid w:val="00F57F01"/>
    <w:rsid w:val="00F60043"/>
    <w:rsid w:val="00F624A3"/>
    <w:rsid w:val="00F64528"/>
    <w:rsid w:val="00F6558A"/>
    <w:rsid w:val="00F67F0A"/>
    <w:rsid w:val="00F749EF"/>
    <w:rsid w:val="00F80DEF"/>
    <w:rsid w:val="00F8228A"/>
    <w:rsid w:val="00F90957"/>
    <w:rsid w:val="00F93AE9"/>
    <w:rsid w:val="00F97B3F"/>
    <w:rsid w:val="00FA2446"/>
    <w:rsid w:val="00FA6376"/>
    <w:rsid w:val="00FA7D43"/>
    <w:rsid w:val="00FB0D5E"/>
    <w:rsid w:val="00FB16AE"/>
    <w:rsid w:val="00FB3EB9"/>
    <w:rsid w:val="00FC0593"/>
    <w:rsid w:val="00FC17AA"/>
    <w:rsid w:val="00FC2515"/>
    <w:rsid w:val="00FC3AAB"/>
    <w:rsid w:val="00FC693F"/>
    <w:rsid w:val="00FD145B"/>
    <w:rsid w:val="00FD3D62"/>
    <w:rsid w:val="00FE14FC"/>
    <w:rsid w:val="00FE2531"/>
    <w:rsid w:val="00FE6827"/>
    <w:rsid w:val="00FF61DF"/>
    <w:rsid w:val="01EC23AE"/>
    <w:rsid w:val="027A7DA0"/>
    <w:rsid w:val="0394396D"/>
    <w:rsid w:val="05CC53AA"/>
    <w:rsid w:val="0648ED78"/>
    <w:rsid w:val="06D8DBBC"/>
    <w:rsid w:val="07F91470"/>
    <w:rsid w:val="082637A9"/>
    <w:rsid w:val="092BEC81"/>
    <w:rsid w:val="09D48F0C"/>
    <w:rsid w:val="0AA40262"/>
    <w:rsid w:val="0B0AECCF"/>
    <w:rsid w:val="0C0F7D48"/>
    <w:rsid w:val="0C5D670F"/>
    <w:rsid w:val="0D9BFEB0"/>
    <w:rsid w:val="0EF5106E"/>
    <w:rsid w:val="0F6D1C47"/>
    <w:rsid w:val="0F8EBA79"/>
    <w:rsid w:val="0FC7F65C"/>
    <w:rsid w:val="10F7060D"/>
    <w:rsid w:val="1102B504"/>
    <w:rsid w:val="13B3C3EB"/>
    <w:rsid w:val="13C375C7"/>
    <w:rsid w:val="13F760ED"/>
    <w:rsid w:val="148DAE4B"/>
    <w:rsid w:val="158A40B2"/>
    <w:rsid w:val="17124E44"/>
    <w:rsid w:val="1713EA0D"/>
    <w:rsid w:val="17F65461"/>
    <w:rsid w:val="182FAB38"/>
    <w:rsid w:val="186202A4"/>
    <w:rsid w:val="194CA18D"/>
    <w:rsid w:val="1BB920B7"/>
    <w:rsid w:val="1C0E8DAE"/>
    <w:rsid w:val="1C3CBD4C"/>
    <w:rsid w:val="1C5635B8"/>
    <w:rsid w:val="1DD89956"/>
    <w:rsid w:val="1E822477"/>
    <w:rsid w:val="1EA1270C"/>
    <w:rsid w:val="1F881994"/>
    <w:rsid w:val="211E3FD0"/>
    <w:rsid w:val="26E246B2"/>
    <w:rsid w:val="273257B4"/>
    <w:rsid w:val="28211D17"/>
    <w:rsid w:val="28A34E4C"/>
    <w:rsid w:val="292416FE"/>
    <w:rsid w:val="29D99478"/>
    <w:rsid w:val="2B3D760F"/>
    <w:rsid w:val="2C56CB7E"/>
    <w:rsid w:val="2DBC6A7A"/>
    <w:rsid w:val="2E25B16C"/>
    <w:rsid w:val="2EB16A1F"/>
    <w:rsid w:val="313D5905"/>
    <w:rsid w:val="3277214F"/>
    <w:rsid w:val="361E16A5"/>
    <w:rsid w:val="36B69EA3"/>
    <w:rsid w:val="36BE6ADA"/>
    <w:rsid w:val="372ABF3E"/>
    <w:rsid w:val="393F615C"/>
    <w:rsid w:val="3A6D7BD5"/>
    <w:rsid w:val="3B15E90C"/>
    <w:rsid w:val="3B8C7A32"/>
    <w:rsid w:val="3C4485CF"/>
    <w:rsid w:val="3C70035E"/>
    <w:rsid w:val="3C89B56C"/>
    <w:rsid w:val="3CA95BAD"/>
    <w:rsid w:val="3CFBEA51"/>
    <w:rsid w:val="3DCC2915"/>
    <w:rsid w:val="3E1A3270"/>
    <w:rsid w:val="3E491EFE"/>
    <w:rsid w:val="3F4F5D29"/>
    <w:rsid w:val="3F7F4668"/>
    <w:rsid w:val="3FA0A2C6"/>
    <w:rsid w:val="40DF5D7E"/>
    <w:rsid w:val="42C9C36D"/>
    <w:rsid w:val="43985A15"/>
    <w:rsid w:val="43D62A1C"/>
    <w:rsid w:val="46B990B3"/>
    <w:rsid w:val="481D9E9F"/>
    <w:rsid w:val="495581B1"/>
    <w:rsid w:val="49A2D975"/>
    <w:rsid w:val="4CF787B3"/>
    <w:rsid w:val="4EE01A01"/>
    <w:rsid w:val="4F8B02D6"/>
    <w:rsid w:val="4F8B5B08"/>
    <w:rsid w:val="50454F80"/>
    <w:rsid w:val="5086822D"/>
    <w:rsid w:val="50E72420"/>
    <w:rsid w:val="51129C9A"/>
    <w:rsid w:val="516D9EBE"/>
    <w:rsid w:val="5186DAD0"/>
    <w:rsid w:val="527DC389"/>
    <w:rsid w:val="52A9DE53"/>
    <w:rsid w:val="52DA3E4A"/>
    <w:rsid w:val="537C5E91"/>
    <w:rsid w:val="54970513"/>
    <w:rsid w:val="556FA6E1"/>
    <w:rsid w:val="5649F270"/>
    <w:rsid w:val="56DE027E"/>
    <w:rsid w:val="57342A1A"/>
    <w:rsid w:val="57C5915B"/>
    <w:rsid w:val="58121849"/>
    <w:rsid w:val="5A1E4A04"/>
    <w:rsid w:val="5B42F65D"/>
    <w:rsid w:val="5BA9A1BE"/>
    <w:rsid w:val="5CAA1A1E"/>
    <w:rsid w:val="5ECFABAE"/>
    <w:rsid w:val="5FDF9E41"/>
    <w:rsid w:val="6093E309"/>
    <w:rsid w:val="618B98C4"/>
    <w:rsid w:val="6200CF87"/>
    <w:rsid w:val="6202F593"/>
    <w:rsid w:val="677F98DE"/>
    <w:rsid w:val="679A5220"/>
    <w:rsid w:val="67ED1FE1"/>
    <w:rsid w:val="6A4A6695"/>
    <w:rsid w:val="6AD94431"/>
    <w:rsid w:val="6F02FE26"/>
    <w:rsid w:val="6F8886D6"/>
    <w:rsid w:val="6FB7DAFC"/>
    <w:rsid w:val="70A1920D"/>
    <w:rsid w:val="70C247E7"/>
    <w:rsid w:val="716B3481"/>
    <w:rsid w:val="71BB1440"/>
    <w:rsid w:val="72588F3C"/>
    <w:rsid w:val="7279C168"/>
    <w:rsid w:val="72E5DBEE"/>
    <w:rsid w:val="735F8C26"/>
    <w:rsid w:val="743C0DCD"/>
    <w:rsid w:val="744F268C"/>
    <w:rsid w:val="747BBE27"/>
    <w:rsid w:val="74F920A8"/>
    <w:rsid w:val="75381BDD"/>
    <w:rsid w:val="7549F061"/>
    <w:rsid w:val="76746844"/>
    <w:rsid w:val="767E3BF6"/>
    <w:rsid w:val="773F6CAB"/>
    <w:rsid w:val="77CF1A27"/>
    <w:rsid w:val="7841E3E5"/>
    <w:rsid w:val="784F4D58"/>
    <w:rsid w:val="78610A72"/>
    <w:rsid w:val="7981F930"/>
    <w:rsid w:val="7A59B024"/>
    <w:rsid w:val="7A7C5BCC"/>
    <w:rsid w:val="7B225EDF"/>
    <w:rsid w:val="7BCF7B1B"/>
    <w:rsid w:val="7CC1EDCD"/>
    <w:rsid w:val="7E80799F"/>
    <w:rsid w:val="7F0948C9"/>
    <w:rsid w:val="7FD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48E72"/>
  <w14:defaultImageDpi w14:val="300"/>
  <w15:docId w15:val="{C1C3E7E6-8462-4784-9F5B-94088D4752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Comment Reference"/>
    <w:basedOn w:val="DefaultParagraphFont"/>
    <w:uiPriority w:val="99"/>
    <w:semiHidden/>
    <w:unhideWhenUsed/>
    <w:rsid w:val="00577BB7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577BB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77BB7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77B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7B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7B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image" Target="media/image1.png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80D55-BA8F-4F96-8A48-1E8B4A797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39D58-1968-4D5B-93A5-0B7132EDB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379e0-c8fe-4c72-bd8d-06eab88b1c4d"/>
    <ds:schemaRef ds:uri="4600bc44-2015-4da8-875d-07b815e12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62FB90-5874-4E79-8616-20084E95ABDB}">
  <ds:schemaRefs>
    <ds:schemaRef ds:uri="http://schemas.microsoft.com/office/2006/metadata/properties"/>
    <ds:schemaRef ds:uri="http://schemas.microsoft.com/office/infopath/2007/PartnerControls"/>
    <ds:schemaRef ds:uri="4600bc44-2015-4da8-875d-07b815e122b5"/>
    <ds:schemaRef ds:uri="5c9379e0-c8fe-4c72-bd8d-06eab88b1c4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Yeung</cp:lastModifiedBy>
  <cp:revision>606</cp:revision>
  <cp:lastPrinted>2026-02-24T16:26:00Z</cp:lastPrinted>
  <dcterms:created xsi:type="dcterms:W3CDTF">2026-03-26T01:02:00Z</dcterms:created>
  <dcterms:modified xsi:type="dcterms:W3CDTF">2026-05-22T03:04:08Z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526d439a,37dc6047,41647b91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27be3e25,4870fb11,2899ed2d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55edad5e-85c4-4d99-839f-4db88ccef5c5_Enabled">
    <vt:lpwstr>true</vt:lpwstr>
  </property>
  <property fmtid="{D5CDD505-2E9C-101B-9397-08002B2CF9AE}" pid="9" name="MSIP_Label_55edad5e-85c4-4d99-839f-4db88ccef5c5_SetDate">
    <vt:lpwstr>2025-09-04T22:38:06Z</vt:lpwstr>
  </property>
  <property fmtid="{D5CDD505-2E9C-101B-9397-08002B2CF9AE}" pid="10" name="MSIP_Label_55edad5e-85c4-4d99-839f-4db88ccef5c5_Method">
    <vt:lpwstr>Standard</vt:lpwstr>
  </property>
  <property fmtid="{D5CDD505-2E9C-101B-9397-08002B2CF9AE}" pid="11" name="MSIP_Label_55edad5e-85c4-4d99-839f-4db88ccef5c5_Name">
    <vt:lpwstr>PSPF Official</vt:lpwstr>
  </property>
  <property fmtid="{D5CDD505-2E9C-101B-9397-08002B2CF9AE}" pid="12" name="MSIP_Label_55edad5e-85c4-4d99-839f-4db88ccef5c5_SiteId">
    <vt:lpwstr>d1ad7db5-97dd-4f2b-816e-50d663b7bb94</vt:lpwstr>
  </property>
  <property fmtid="{D5CDD505-2E9C-101B-9397-08002B2CF9AE}" pid="13" name="MSIP_Label_55edad5e-85c4-4d99-839f-4db88ccef5c5_ActionId">
    <vt:lpwstr>4f9c3b21-8933-486a-8ac9-866b20655c5c</vt:lpwstr>
  </property>
  <property fmtid="{D5CDD505-2E9C-101B-9397-08002B2CF9AE}" pid="14" name="MSIP_Label_55edad5e-85c4-4d99-839f-4db88ccef5c5_ContentBits">
    <vt:lpwstr>3</vt:lpwstr>
  </property>
  <property fmtid="{D5CDD505-2E9C-101B-9397-08002B2CF9AE}" pid="15" name="MSIP_Label_55edad5e-85c4-4d99-839f-4db88ccef5c5_Tag">
    <vt:lpwstr>10, 3, 0, 1</vt:lpwstr>
  </property>
  <property fmtid="{D5CDD505-2E9C-101B-9397-08002B2CF9AE}" pid="16" name="ContentTypeId">
    <vt:lpwstr>0x01010061B93D4149CF1F4A82E5E3E1C517E5E7</vt:lpwstr>
  </property>
  <property fmtid="{D5CDD505-2E9C-101B-9397-08002B2CF9AE}" pid="17" name="MediaServiceImageTags">
    <vt:lpwstr/>
  </property>
</Properties>
</file>