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72D6" w14:textId="77777777" w:rsidR="00F722E8" w:rsidRDefault="00F722E8" w:rsidP="00BF3466">
      <w:pPr>
        <w:spacing w:after="200" w:line="276" w:lineRule="auto"/>
        <w:rPr>
          <w:rFonts w:ascii="Aptos" w:eastAsia="Arial" w:hAnsi="Aptos" w:cs="Calibri"/>
          <w:b/>
          <w:bCs/>
          <w:color w:val="000000" w:themeColor="text1"/>
        </w:rPr>
      </w:pPr>
      <w:bookmarkStart w:id="0" w:name="_Hlk226019417"/>
    </w:p>
    <w:p w14:paraId="55A24B55" w14:textId="045EC2DF" w:rsidR="009911B1" w:rsidRPr="009911B1" w:rsidRDefault="009911B1" w:rsidP="009911B1">
      <w:pPr>
        <w:spacing w:after="200" w:line="276" w:lineRule="auto"/>
        <w:jc w:val="center"/>
        <w:rPr>
          <w:rFonts w:ascii="Aptos" w:eastAsia="Arial" w:hAnsi="Aptos" w:cs="Calibri"/>
          <w:b/>
          <w:bCs/>
          <w:color w:val="000000" w:themeColor="text1"/>
          <w:lang w:val="en-AU"/>
        </w:rPr>
      </w:pPr>
      <w:r w:rsidRPr="009911B1">
        <w:rPr>
          <w:rFonts w:ascii="Aptos" w:eastAsia="Arial" w:hAnsi="Aptos" w:cs="Calibri"/>
          <w:b/>
          <w:bCs/>
          <w:color w:val="000000" w:themeColor="text1"/>
          <w:lang w:val="en-AU"/>
        </w:rPr>
        <w:t>WRP</w:t>
      </w:r>
      <w:r>
        <w:rPr>
          <w:rFonts w:ascii="Aptos" w:eastAsia="Arial" w:hAnsi="Aptos" w:cs="Calibri"/>
          <w:b/>
          <w:bCs/>
          <w:color w:val="000000" w:themeColor="text1"/>
          <w:lang w:val="en-AU"/>
        </w:rPr>
        <w:t>/</w:t>
      </w:r>
      <w:proofErr w:type="spellStart"/>
      <w:r w:rsidRPr="009911B1">
        <w:rPr>
          <w:rFonts w:ascii="Aptos" w:eastAsia="Arial" w:hAnsi="Aptos" w:cs="Calibri"/>
          <w:b/>
          <w:bCs/>
          <w:color w:val="000000" w:themeColor="text1"/>
          <w:lang w:val="en-AU"/>
        </w:rPr>
        <w:t>COSPPac</w:t>
      </w:r>
      <w:proofErr w:type="spellEnd"/>
      <w:r w:rsidRPr="009911B1">
        <w:rPr>
          <w:rFonts w:ascii="Aptos" w:eastAsia="Arial" w:hAnsi="Aptos" w:cs="Calibri"/>
          <w:b/>
          <w:bCs/>
          <w:color w:val="000000" w:themeColor="text1"/>
          <w:lang w:val="en-AU"/>
        </w:rPr>
        <w:t xml:space="preserve"> Alignment and Collaboration Meeting</w:t>
      </w:r>
    </w:p>
    <w:p w14:paraId="4E30EC0C" w14:textId="4A15A9AF" w:rsidR="009911B1" w:rsidRPr="009911B1" w:rsidRDefault="009911B1" w:rsidP="009911B1">
      <w:pPr>
        <w:spacing w:after="200" w:line="276" w:lineRule="auto"/>
        <w:jc w:val="center"/>
        <w:rPr>
          <w:rFonts w:ascii="Aptos" w:eastAsia="Arial" w:hAnsi="Aptos" w:cs="Calibri"/>
          <w:b/>
          <w:bCs/>
          <w:color w:val="000000" w:themeColor="text1"/>
          <w:lang w:val="en-AU"/>
        </w:rPr>
      </w:pPr>
      <w:r w:rsidRPr="009911B1">
        <w:rPr>
          <w:rFonts w:ascii="Aptos" w:eastAsia="Arial" w:hAnsi="Aptos" w:cs="Calibri"/>
          <w:b/>
          <w:bCs/>
          <w:color w:val="000000" w:themeColor="text1"/>
          <w:lang w:val="en-AU"/>
        </w:rPr>
        <w:t>_______________________________</w:t>
      </w:r>
    </w:p>
    <w:p w14:paraId="34A071EB" w14:textId="1D073291" w:rsidR="009911B1" w:rsidRPr="009911B1" w:rsidRDefault="009911B1" w:rsidP="009911B1">
      <w:pPr>
        <w:spacing w:after="200" w:line="276" w:lineRule="auto"/>
        <w:jc w:val="center"/>
        <w:rPr>
          <w:rFonts w:ascii="Aptos" w:eastAsia="Arial" w:hAnsi="Aptos" w:cs="Calibri"/>
          <w:b/>
          <w:bCs/>
          <w:color w:val="000000" w:themeColor="text1"/>
          <w:lang w:val="en-AU"/>
        </w:rPr>
      </w:pPr>
      <w:r w:rsidRPr="009911B1">
        <w:rPr>
          <w:rFonts w:ascii="Aptos" w:eastAsia="Arial" w:hAnsi="Aptos" w:cs="Calibri"/>
          <w:b/>
          <w:bCs/>
          <w:color w:val="000000" w:themeColor="text1"/>
          <w:lang w:val="en-AU"/>
        </w:rPr>
        <w:t>Actions Register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1902"/>
        <w:gridCol w:w="1504"/>
        <w:gridCol w:w="1498"/>
      </w:tblGrid>
      <w:tr w:rsidR="009911B1" w:rsidRPr="009911B1" w14:paraId="48151068" w14:textId="77777777" w:rsidTr="009911B1">
        <w:trPr>
          <w:trHeight w:val="90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bookmarkEnd w:id="0"/>
          <w:p w14:paraId="530D8458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Activity Area</w:t>
            </w:r>
            <w:r w:rsidRPr="009911B1"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B126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Role &amp; Responsibility</w:t>
            </w:r>
            <w:r w:rsidRPr="009911B1"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E3C5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Timeline</w:t>
            </w:r>
            <w:r w:rsidRPr="009911B1"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C6756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Status</w:t>
            </w:r>
            <w:r w:rsidRPr="009911B1">
              <w:rPr>
                <w:rFonts w:ascii="Arial" w:eastAsia="Times New Roman" w:hAnsi="Arial" w:cs="Arial"/>
                <w:b/>
                <w:bCs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 (May 26)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3E54D6C0" w14:textId="77777777" w:rsidTr="009911B1">
        <w:trPr>
          <w:trHeight w:val="90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3368D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1.Aligning report cycles, turnaround time and Pacific report endorsement – get SC and donor agreement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0B815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Kat, Ed, Nicole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2D704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May 2026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FA90B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In discussion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1E5BD4B7" w14:textId="77777777" w:rsidTr="009911B1">
        <w:trPr>
          <w:trHeight w:val="127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F4FB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2. Shared events and training calendar (coordinated through Pacific Met Desk or MHEWS TWG). Short-term look to consolidate calendars onto </w:t>
            </w:r>
            <w:proofErr w:type="spellStart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 </w:t>
            </w:r>
            <w:proofErr w:type="spellStart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sharepoint</w:t>
            </w:r>
            <w:proofErr w:type="spellEnd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 site? 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27373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Terry, Ed, Nicole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3FDA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May 2026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71209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1206EB75" w14:textId="77777777" w:rsidTr="009911B1">
        <w:trPr>
          <w:trHeight w:val="127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C241B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3. </w:t>
            </w:r>
            <w:proofErr w:type="spellStart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 and WRP MERL to align data collection tools and systems, leveraging existing mechanisms (e.g. PMC, panels, surveys/forms, data repositories, dashboards)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1FF6B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Ed, WRP MERLA Officer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07D04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2026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8F7C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6D93F441" w14:textId="77777777" w:rsidTr="009911B1">
        <w:trPr>
          <w:trHeight w:val="90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3B0A3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4. Support for PMC reporting 2026 (&amp; alignment with PIMS/WRP baseline collection)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C1B7C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Ed, Salesa, WRP MERLA Officer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7155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eastAsia="en-AU"/>
              </w:rPr>
              <w:t>Ongoing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AE51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​In Progress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4EDD2ED5" w14:textId="77777777" w:rsidTr="009911B1">
        <w:trPr>
          <w:trHeight w:val="127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4B56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5. </w:t>
            </w:r>
            <w:proofErr w:type="spellStart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 MERL rep will pilot MERL support to NMHSs for next 12-18 months (liaising with WRP MERLA Officer as they come onboard (e.g. assisting development of surveys, training, met strategy development)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D0779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Ed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46FA5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lang w:eastAsia="en-AU"/>
              </w:rPr>
              <w:t>Ongoing</w:t>
            </w: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BD9BE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​In Progress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4BBC76E7" w14:textId="77777777" w:rsidTr="009911B1">
        <w:trPr>
          <w:trHeight w:val="72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A6EEF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6. Establish co-support to NMHSs such as Project implementation officers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E7A3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Zulfi, 'Ofa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3CDC7" w14:textId="07B24722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  <w:r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June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A0272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060EC10E" w14:textId="77777777" w:rsidTr="009911B1">
        <w:trPr>
          <w:trHeight w:val="96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A4B32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7. Review the expert panels for the PMC to support social science, science/community communication and GEDSI capability in the NMHSs. 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37763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Salesa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7C99D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July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E4BCC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107BC560" w14:textId="77777777" w:rsidTr="009911B1">
        <w:trPr>
          <w:trHeight w:val="96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0F7CB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8. PIMS review to incorporate GEDSI as a sub-topic to provide a pacific strategy that feeds into </w:t>
            </w:r>
            <w:proofErr w:type="spellStart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programme</w:t>
            </w:r>
            <w:proofErr w:type="spellEnd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 GEDSI strategies.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326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Sue, Michelle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DD62B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July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DD1F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​In Progress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1C8059ED" w14:textId="77777777" w:rsidTr="009911B1">
        <w:trPr>
          <w:trHeight w:val="138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A30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lastRenderedPageBreak/>
              <w:t>9. Complete the TK program of work through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funding and resource support for all Pacific Island countries. This will enable future useful integration into weather and climate forecasts and products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with scientific basis. 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D40DE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Sina/Salesa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E66E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2026</w:t>
            </w: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DA499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6E312628" w14:textId="77777777" w:rsidTr="009911B1">
        <w:trPr>
          <w:trHeight w:val="96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6927F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10. PIMS MERL framework to be developed by </w:t>
            </w:r>
            <w:proofErr w:type="spellStart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 xml:space="preserve"> MERL officer to speed up alignment between PIMS, WRP and </w:t>
            </w:r>
            <w:proofErr w:type="spellStart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.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ECADC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Ed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920A8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Aug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6A97E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shd w:val="clear" w:color="auto" w:fill="FFFFFF"/>
                <w:lang w:eastAsia="en-AU"/>
              </w:rPr>
              <w:t>​In Progress</w:t>
            </w:r>
            <w:r w:rsidRPr="009911B1">
              <w:rPr>
                <w:rFonts w:ascii="Arial" w:eastAsia="Times New Roman" w:hAnsi="Arial" w:cs="Arial"/>
                <w:color w:val="424242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58563352" w14:textId="77777777" w:rsidTr="009911B1">
        <w:trPr>
          <w:trHeight w:val="127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1AF22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11. Flexi-fund/Readiness Fund, training on both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application processes, so that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WRP/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can support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NMS/NMHS requests for both during in country visits.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8AD0D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Jess, Zulfi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3B5C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Apr 2026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03B0C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​Done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57248380" w14:textId="77777777" w:rsidTr="009911B1">
        <w:trPr>
          <w:trHeight w:val="90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BA335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12. Establish bi-monthly cross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programme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updates on various activities; flexi funds use/requests, training calendars,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etc</w:t>
            </w:r>
            <w:proofErr w:type="spellEnd"/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120F7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MERL officers 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A6F2F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2 monthly 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8348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​Done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330AD726" w14:textId="77777777" w:rsidTr="009911B1">
        <w:trPr>
          <w:trHeight w:val="90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59886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13. For WRP Operations manual identify interface people with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programme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to review and leverage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processes.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90A0C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Jess, Celine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33F22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Feb 2026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9CDD9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5CE41AE4" w14:textId="77777777" w:rsidTr="009911B1">
        <w:trPr>
          <w:trHeight w:val="127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C941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14. WRP to acquire an Asset management system to be jointly used in the Pacific and co-financed with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, potentially pilot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with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PSLGM network during the procurement phase.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8F9B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Marica/Jeff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FA08B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Dec 2026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EB289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​In Progress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06869558" w14:textId="77777777" w:rsidTr="009911B1">
        <w:trPr>
          <w:trHeight w:val="166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896F6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15. ICT needs assessment has been carried out by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(Solomons, Kiribati, ),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ClimSA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(Kiribati*, Samoa and Nauru). This information is to be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shared to and managed by Marica (PICI panel secretariat) so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any projects can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 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access and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utilise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this baseline information to support NMHS in addressing their ICT needs.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4380E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Ed, Naheed, Marica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73F03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Feb 2026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92C55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​Done (coordination role transferred to WRP)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12BEEEF3" w14:textId="77777777" w:rsidTr="009911B1">
        <w:trPr>
          <w:trHeight w:val="127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C09FD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16. C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and WRP to explore approach using WRP IFP workshop (April) and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ICT workshop (Aug) to make progress on ICT assessments, capabilities and needs.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81183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Marica, Stephen, Ed,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Moleni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4D04B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Feb-Aug 2026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790E7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​In Progress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50B5BA69" w14:textId="77777777" w:rsidTr="009911B1">
        <w:trPr>
          <w:trHeight w:val="1665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18BA9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17. Develop a communication piece on the WRP and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programme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(synergies and differences) to be endorsed by met directors and respective steering committees, to improve understanding of the two programs and inform future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and WRP design/resource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mobilisation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.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7B2C2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Ed, Celine,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Ofa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, Angie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16038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Feb 2026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51078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​Done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4B4ECEA5" w14:textId="77777777" w:rsidTr="009911B1">
        <w:trPr>
          <w:trHeight w:val="68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D40C8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18. Co-develop communication material for COP (including SLT for the involved agencies)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B356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Comms team –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COSPPac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, WRP, other programs 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CE78A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Aug 2026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B96A4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  <w:tr w:rsidR="009911B1" w:rsidRPr="009911B1" w14:paraId="1EA41EFE" w14:textId="77777777" w:rsidTr="009911B1">
        <w:trPr>
          <w:trHeight w:val="1110"/>
        </w:trPr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A6B35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lastRenderedPageBreak/>
              <w:t xml:space="preserve">19. Co-develop paper to SCs on the alignment of the two </w:t>
            </w:r>
            <w:proofErr w:type="spellStart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programmes</w:t>
            </w:r>
            <w:proofErr w:type="spellEnd"/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 xml:space="preserve"> for endorsement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F8CE0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'Ofa, Celine, Salesa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C1ED5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eastAsia="en-AU"/>
              </w:rPr>
              <w:t>April 2026</w:t>
            </w:r>
            <w:r w:rsidRPr="009911B1">
              <w:rPr>
                <w:rFonts w:ascii="Aptos" w:eastAsia="Times New Roman" w:hAnsi="Aptos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7805D" w14:textId="77777777" w:rsidR="009911B1" w:rsidRPr="009911B1" w:rsidRDefault="009911B1" w:rsidP="00991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rPr>
                <w:rFonts w:eastAsia="Times New Roman"/>
                <w:color w:val="000000"/>
                <w:bdr w:val="none" w:sz="0" w:space="0" w:color="auto"/>
                <w:lang w:val="en-AU" w:eastAsia="en-AU"/>
              </w:rPr>
            </w:pP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eastAsia="en-AU"/>
              </w:rPr>
              <w:t>​NYC</w:t>
            </w:r>
            <w:r w:rsidRPr="009911B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/>
                <w:lang w:val="en-AU" w:eastAsia="en-AU"/>
              </w:rPr>
              <w:t> </w:t>
            </w:r>
          </w:p>
        </w:tc>
      </w:tr>
    </w:tbl>
    <w:p w14:paraId="40571E84" w14:textId="1FDEC804" w:rsidR="00783134" w:rsidRPr="000E4D9B" w:rsidRDefault="00783134" w:rsidP="009911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jc w:val="center"/>
        <w:rPr>
          <w:rFonts w:ascii="Aptos" w:eastAsia="Arial" w:hAnsi="Aptos" w:cs="Calibri"/>
          <w:color w:val="000000" w:themeColor="text1"/>
          <w:sz w:val="22"/>
          <w:szCs w:val="22"/>
          <w:u w:color="000000"/>
          <w:lang w:val="en-AU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783134" w:rsidRPr="000E4D9B" w:rsidSect="00BF3466">
      <w:headerReference w:type="default" r:id="rId8"/>
      <w:footerReference w:type="default" r:id="rId9"/>
      <w:type w:val="continuous"/>
      <w:pgSz w:w="11900" w:h="16840"/>
      <w:pgMar w:top="2269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E773" w14:textId="77777777" w:rsidR="00DC2F12" w:rsidRDefault="00DC2F12">
      <w:r>
        <w:separator/>
      </w:r>
    </w:p>
  </w:endnote>
  <w:endnote w:type="continuationSeparator" w:id="0">
    <w:p w14:paraId="664A7F11" w14:textId="77777777" w:rsidR="00DC2F12" w:rsidRDefault="00DC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Sylfae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00F1" w14:textId="77777777" w:rsidR="00212487" w:rsidRDefault="00212487">
    <w:pPr>
      <w:pStyle w:val="Footer"/>
    </w:pPr>
    <w:r>
      <w:rPr>
        <w:rFonts w:ascii="Arial" w:eastAsia="Arial" w:hAnsi="Arial" w:cs="Arial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244208" wp14:editId="6E1B2308">
              <wp:simplePos x="0" y="0"/>
              <wp:positionH relativeFrom="page">
                <wp:posOffset>47625</wp:posOffset>
              </wp:positionH>
              <wp:positionV relativeFrom="paragraph">
                <wp:posOffset>-394970</wp:posOffset>
              </wp:positionV>
              <wp:extent cx="7477974" cy="613641"/>
              <wp:effectExtent l="0" t="0" r="8890" b="0"/>
              <wp:wrapNone/>
              <wp:docPr id="3483605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77974" cy="613641"/>
                        <a:chOff x="149263" y="-141944"/>
                        <a:chExt cx="7213746" cy="571539"/>
                      </a:xfrm>
                    </wpg:grpSpPr>
                    <wps:wsp>
                      <wps:cNvPr id="1593710549" name="officeArt object" descr="officeArt object"/>
                      <wps:cNvSpPr txBox="1"/>
                      <wps:spPr>
                        <a:xfrm>
                          <a:off x="308159" y="-141944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76C574" w14:textId="77777777" w:rsidR="00212487" w:rsidRPr="00666B4F" w:rsidRDefault="00212487" w:rsidP="00212487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454523369" name="officeArt object" descr="officeArt object"/>
                      <wps:cNvSpPr txBox="1"/>
                      <wps:spPr>
                        <a:xfrm>
                          <a:off x="149263" y="200995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039D7B" w14:textId="77777777" w:rsidR="00212487" w:rsidRDefault="00212487" w:rsidP="00212487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44208" id="Group 9" o:spid="_x0000_s1026" style="position:absolute;margin-left:3.75pt;margin-top:-31.1pt;width:588.8pt;height:48.3pt;z-index:251665408;mso-position-horizontal-relative:page;mso-width-relative:margin;mso-height-relative:margin" coordorigin="1492,-1419" coordsize="7213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3081;top:-1419;width:7054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" filled="f" stroked="f" strokeweight="1pt">
                <v:stroke miterlimit="4"/>
                <v:textbox inset="2.53989mm,2.53989mm,2.53989mm,2.53989mm">
                  <w:txbxContent>
                    <w:p w14:paraId="5376C574" w14:textId="77777777" w:rsidR="00212487" w:rsidRPr="00666B4F" w:rsidRDefault="00212487" w:rsidP="00212487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3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4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492;top:2009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" filled="f" stroked="f" strokeweight="1pt">
                <v:stroke miterlimit="4"/>
                <v:textbox inset=".5mm,.5mm,.5mm,.5mm">
                  <w:txbxContent>
                    <w:p w14:paraId="23039D7B" w14:textId="77777777" w:rsidR="00212487" w:rsidRDefault="00212487" w:rsidP="00212487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2DEE" w14:textId="77777777" w:rsidR="00DC2F12" w:rsidRDefault="00DC2F12">
      <w:r>
        <w:separator/>
      </w:r>
    </w:p>
  </w:footnote>
  <w:footnote w:type="continuationSeparator" w:id="0">
    <w:p w14:paraId="7F016C9A" w14:textId="77777777" w:rsidR="00DC2F12" w:rsidRDefault="00DC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4A72" w14:textId="7B18B4DF" w:rsidR="0073319D" w:rsidRDefault="00411817">
    <w:pPr>
      <w:pStyle w:val="Header"/>
      <w:spacing w:after="0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36EB89" wp14:editId="7DDFD355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1783080" cy="698500"/>
          <wp:effectExtent l="0" t="0" r="0" b="0"/>
          <wp:wrapTight wrapText="bothSides">
            <wp:wrapPolygon edited="0">
              <wp:start x="2538" y="1178"/>
              <wp:lineTo x="1846" y="3535"/>
              <wp:lineTo x="231" y="10015"/>
              <wp:lineTo x="0" y="15905"/>
              <wp:lineTo x="231" y="17084"/>
              <wp:lineTo x="5077" y="19440"/>
              <wp:lineTo x="7385" y="19440"/>
              <wp:lineTo x="16846" y="18262"/>
              <wp:lineTo x="20769" y="16495"/>
              <wp:lineTo x="21000" y="6480"/>
              <wp:lineTo x="18692" y="4713"/>
              <wp:lineTo x="5077" y="1178"/>
              <wp:lineTo x="2538" y="1178"/>
            </wp:wrapPolygon>
          </wp:wrapTight>
          <wp:docPr id="8401913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2E8">
      <w:rPr>
        <w:rFonts w:ascii="Arial" w:hAnsi="Arial"/>
        <w:b/>
        <w:noProof/>
        <w:color w:val="A7A7A7" w:themeColor="text2"/>
        <w:sz w:val="40"/>
      </w:rPr>
      <w:drawing>
        <wp:anchor distT="0" distB="0" distL="114300" distR="114300" simplePos="0" relativeHeight="251669504" behindDoc="0" locked="0" layoutInCell="1" allowOverlap="1" wp14:anchorId="4ABB4A19" wp14:editId="681EE527">
          <wp:simplePos x="0" y="0"/>
          <wp:positionH relativeFrom="column">
            <wp:posOffset>4215765</wp:posOffset>
          </wp:positionH>
          <wp:positionV relativeFrom="paragraph">
            <wp:posOffset>-67945</wp:posOffset>
          </wp:positionV>
          <wp:extent cx="1880870" cy="804545"/>
          <wp:effectExtent l="0" t="0" r="5080" b="0"/>
          <wp:wrapSquare wrapText="bothSides"/>
          <wp:docPr id="13482950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64063" name="Picture 5057640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9AA">
      <w:rPr>
        <w:noProof/>
      </w:rPr>
      <w:drawing>
        <wp:anchor distT="0" distB="0" distL="114300" distR="114300" simplePos="0" relativeHeight="251664383" behindDoc="0" locked="0" layoutInCell="1" allowOverlap="1" wp14:anchorId="6BDF8D7C" wp14:editId="56BE6F5E">
          <wp:simplePos x="0" y="0"/>
          <wp:positionH relativeFrom="page">
            <wp:align>right</wp:align>
          </wp:positionH>
          <wp:positionV relativeFrom="paragraph">
            <wp:posOffset>-347345</wp:posOffset>
          </wp:positionV>
          <wp:extent cx="7553325" cy="1360771"/>
          <wp:effectExtent l="0" t="0" r="0" b="0"/>
          <wp:wrapNone/>
          <wp:docPr id="1948692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836732" name="Picture 3688367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360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4EC9"/>
    <w:multiLevelType w:val="hybridMultilevel"/>
    <w:tmpl w:val="BA889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A354C"/>
    <w:multiLevelType w:val="multilevel"/>
    <w:tmpl w:val="BCD27AC4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82D95"/>
    <w:multiLevelType w:val="multilevel"/>
    <w:tmpl w:val="C7CEAEFA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41D8"/>
    <w:multiLevelType w:val="hybridMultilevel"/>
    <w:tmpl w:val="5470B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70AA7"/>
    <w:multiLevelType w:val="hybridMultilevel"/>
    <w:tmpl w:val="8DD6B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0C07"/>
    <w:multiLevelType w:val="multilevel"/>
    <w:tmpl w:val="6D84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815BC"/>
    <w:multiLevelType w:val="hybridMultilevel"/>
    <w:tmpl w:val="1F209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9BB"/>
    <w:multiLevelType w:val="hybridMultilevel"/>
    <w:tmpl w:val="EFA42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86873"/>
    <w:multiLevelType w:val="hybridMultilevel"/>
    <w:tmpl w:val="D7BAA4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46D4"/>
    <w:multiLevelType w:val="multilevel"/>
    <w:tmpl w:val="CF88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E43F8"/>
    <w:multiLevelType w:val="multilevel"/>
    <w:tmpl w:val="8B84D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233B0"/>
    <w:multiLevelType w:val="multilevel"/>
    <w:tmpl w:val="5114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22845"/>
    <w:multiLevelType w:val="hybridMultilevel"/>
    <w:tmpl w:val="24A8A8C4"/>
    <w:lvl w:ilvl="0" w:tplc="15640FE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41EAB"/>
    <w:multiLevelType w:val="hybridMultilevel"/>
    <w:tmpl w:val="892ABA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11023"/>
    <w:multiLevelType w:val="multilevel"/>
    <w:tmpl w:val="9E5CC6DA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040EFE"/>
    <w:multiLevelType w:val="hybridMultilevel"/>
    <w:tmpl w:val="C5B403D0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A24D7"/>
    <w:multiLevelType w:val="hybridMultilevel"/>
    <w:tmpl w:val="ED8223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FA0008"/>
    <w:multiLevelType w:val="hybridMultilevel"/>
    <w:tmpl w:val="66D45A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446663">
    <w:abstractNumId w:val="7"/>
  </w:num>
  <w:num w:numId="2" w16cid:durableId="1164005598">
    <w:abstractNumId w:val="4"/>
  </w:num>
  <w:num w:numId="3" w16cid:durableId="910851497">
    <w:abstractNumId w:val="0"/>
  </w:num>
  <w:num w:numId="4" w16cid:durableId="1273242396">
    <w:abstractNumId w:val="6"/>
  </w:num>
  <w:num w:numId="5" w16cid:durableId="1307274321">
    <w:abstractNumId w:val="3"/>
  </w:num>
  <w:num w:numId="6" w16cid:durableId="244537992">
    <w:abstractNumId w:val="16"/>
  </w:num>
  <w:num w:numId="7" w16cid:durableId="579604719">
    <w:abstractNumId w:val="9"/>
  </w:num>
  <w:num w:numId="8" w16cid:durableId="915434171">
    <w:abstractNumId w:val="5"/>
  </w:num>
  <w:num w:numId="9" w16cid:durableId="1622423153">
    <w:abstractNumId w:val="11"/>
  </w:num>
  <w:num w:numId="10" w16cid:durableId="1625846719">
    <w:abstractNumId w:val="8"/>
  </w:num>
  <w:num w:numId="11" w16cid:durableId="315425460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022942">
    <w:abstractNumId w:val="17"/>
  </w:num>
  <w:num w:numId="13" w16cid:durableId="7238735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7809425">
    <w:abstractNumId w:val="2"/>
  </w:num>
  <w:num w:numId="15" w16cid:durableId="521630401">
    <w:abstractNumId w:val="1"/>
  </w:num>
  <w:num w:numId="16" w16cid:durableId="1376539457">
    <w:abstractNumId w:val="14"/>
  </w:num>
  <w:num w:numId="17" w16cid:durableId="916356265">
    <w:abstractNumId w:val="13"/>
  </w:num>
  <w:num w:numId="18" w16cid:durableId="6199170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AA"/>
    <w:rsid w:val="000348B3"/>
    <w:rsid w:val="00062DC0"/>
    <w:rsid w:val="00073F92"/>
    <w:rsid w:val="00086B8F"/>
    <w:rsid w:val="00093A44"/>
    <w:rsid w:val="000E38A2"/>
    <w:rsid w:val="000E4D9B"/>
    <w:rsid w:val="00106E1E"/>
    <w:rsid w:val="00142AFB"/>
    <w:rsid w:val="00152913"/>
    <w:rsid w:val="00197364"/>
    <w:rsid w:val="001B7D7B"/>
    <w:rsid w:val="001D4659"/>
    <w:rsid w:val="001D7060"/>
    <w:rsid w:val="001F7289"/>
    <w:rsid w:val="00211E37"/>
    <w:rsid w:val="00212487"/>
    <w:rsid w:val="00221E9D"/>
    <w:rsid w:val="002317AD"/>
    <w:rsid w:val="002351A7"/>
    <w:rsid w:val="00256385"/>
    <w:rsid w:val="002C051B"/>
    <w:rsid w:val="002C1EEA"/>
    <w:rsid w:val="002F6D80"/>
    <w:rsid w:val="00312062"/>
    <w:rsid w:val="00316E22"/>
    <w:rsid w:val="00320CB1"/>
    <w:rsid w:val="0037291B"/>
    <w:rsid w:val="003E51E0"/>
    <w:rsid w:val="003E63DC"/>
    <w:rsid w:val="003F7A0C"/>
    <w:rsid w:val="004011E8"/>
    <w:rsid w:val="00402D6B"/>
    <w:rsid w:val="00404B6F"/>
    <w:rsid w:val="00411817"/>
    <w:rsid w:val="00437DD4"/>
    <w:rsid w:val="00443274"/>
    <w:rsid w:val="00463E3E"/>
    <w:rsid w:val="00490F70"/>
    <w:rsid w:val="004A453A"/>
    <w:rsid w:val="004B57CE"/>
    <w:rsid w:val="004D3711"/>
    <w:rsid w:val="004E0823"/>
    <w:rsid w:val="00512345"/>
    <w:rsid w:val="00574160"/>
    <w:rsid w:val="005B5195"/>
    <w:rsid w:val="005D6091"/>
    <w:rsid w:val="005F5631"/>
    <w:rsid w:val="006026CE"/>
    <w:rsid w:val="00610CE9"/>
    <w:rsid w:val="00632F27"/>
    <w:rsid w:val="006516F8"/>
    <w:rsid w:val="006553B2"/>
    <w:rsid w:val="00661362"/>
    <w:rsid w:val="00665216"/>
    <w:rsid w:val="00666B4F"/>
    <w:rsid w:val="00690502"/>
    <w:rsid w:val="006A0CA0"/>
    <w:rsid w:val="006B230F"/>
    <w:rsid w:val="006C54A1"/>
    <w:rsid w:val="006D09FC"/>
    <w:rsid w:val="006E256A"/>
    <w:rsid w:val="00721CF1"/>
    <w:rsid w:val="0073319D"/>
    <w:rsid w:val="00733FDF"/>
    <w:rsid w:val="00744ABC"/>
    <w:rsid w:val="00783133"/>
    <w:rsid w:val="00783134"/>
    <w:rsid w:val="00787DF7"/>
    <w:rsid w:val="007B6571"/>
    <w:rsid w:val="007C2249"/>
    <w:rsid w:val="007C67D3"/>
    <w:rsid w:val="007F185C"/>
    <w:rsid w:val="007F3164"/>
    <w:rsid w:val="00820044"/>
    <w:rsid w:val="00822FCB"/>
    <w:rsid w:val="00827060"/>
    <w:rsid w:val="00842AC2"/>
    <w:rsid w:val="00850B68"/>
    <w:rsid w:val="0089193F"/>
    <w:rsid w:val="008B1AD4"/>
    <w:rsid w:val="008B22B6"/>
    <w:rsid w:val="008C1499"/>
    <w:rsid w:val="008D09EA"/>
    <w:rsid w:val="008E2558"/>
    <w:rsid w:val="008F3664"/>
    <w:rsid w:val="00921E98"/>
    <w:rsid w:val="00927E37"/>
    <w:rsid w:val="009440AE"/>
    <w:rsid w:val="00953F97"/>
    <w:rsid w:val="0097672F"/>
    <w:rsid w:val="00976E46"/>
    <w:rsid w:val="009911B1"/>
    <w:rsid w:val="009A6630"/>
    <w:rsid w:val="009D3C35"/>
    <w:rsid w:val="009D5818"/>
    <w:rsid w:val="009E01F1"/>
    <w:rsid w:val="009E5BDE"/>
    <w:rsid w:val="00A038D8"/>
    <w:rsid w:val="00A16534"/>
    <w:rsid w:val="00A30879"/>
    <w:rsid w:val="00A3137B"/>
    <w:rsid w:val="00A31E58"/>
    <w:rsid w:val="00A34787"/>
    <w:rsid w:val="00A46EFE"/>
    <w:rsid w:val="00A560D9"/>
    <w:rsid w:val="00A746FE"/>
    <w:rsid w:val="00AE4228"/>
    <w:rsid w:val="00AE5B99"/>
    <w:rsid w:val="00B00E67"/>
    <w:rsid w:val="00B413E8"/>
    <w:rsid w:val="00B423CF"/>
    <w:rsid w:val="00B84798"/>
    <w:rsid w:val="00B85C45"/>
    <w:rsid w:val="00B9513B"/>
    <w:rsid w:val="00B9646C"/>
    <w:rsid w:val="00BF3466"/>
    <w:rsid w:val="00BF3B9C"/>
    <w:rsid w:val="00C07E7A"/>
    <w:rsid w:val="00C15B7F"/>
    <w:rsid w:val="00C2073B"/>
    <w:rsid w:val="00C42A80"/>
    <w:rsid w:val="00C703F3"/>
    <w:rsid w:val="00C81B7A"/>
    <w:rsid w:val="00C86108"/>
    <w:rsid w:val="00C950EF"/>
    <w:rsid w:val="00CA0417"/>
    <w:rsid w:val="00CC02E8"/>
    <w:rsid w:val="00CE68B2"/>
    <w:rsid w:val="00CF3963"/>
    <w:rsid w:val="00D066E2"/>
    <w:rsid w:val="00D06A15"/>
    <w:rsid w:val="00D22FB3"/>
    <w:rsid w:val="00D26960"/>
    <w:rsid w:val="00D5392B"/>
    <w:rsid w:val="00D6190A"/>
    <w:rsid w:val="00D75B29"/>
    <w:rsid w:val="00D874D7"/>
    <w:rsid w:val="00DA3A4D"/>
    <w:rsid w:val="00DB4D6E"/>
    <w:rsid w:val="00DC2F12"/>
    <w:rsid w:val="00E11661"/>
    <w:rsid w:val="00E21BB2"/>
    <w:rsid w:val="00E33C37"/>
    <w:rsid w:val="00E35930"/>
    <w:rsid w:val="00E60B36"/>
    <w:rsid w:val="00E61A8B"/>
    <w:rsid w:val="00E72262"/>
    <w:rsid w:val="00E751C7"/>
    <w:rsid w:val="00E8222A"/>
    <w:rsid w:val="00EB1577"/>
    <w:rsid w:val="00EB268E"/>
    <w:rsid w:val="00EC04E8"/>
    <w:rsid w:val="00EE0B76"/>
    <w:rsid w:val="00EE38D3"/>
    <w:rsid w:val="00EE71D2"/>
    <w:rsid w:val="00F03420"/>
    <w:rsid w:val="00F11C9A"/>
    <w:rsid w:val="00F229AA"/>
    <w:rsid w:val="00F5400E"/>
    <w:rsid w:val="00F722E8"/>
    <w:rsid w:val="00F85035"/>
    <w:rsid w:val="00F9773E"/>
    <w:rsid w:val="00FB1C91"/>
    <w:rsid w:val="00FE0D77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62E26"/>
  <w15:docId w15:val="{44ED673D-C5C6-4A7E-B3D9-DE2600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D9B"/>
    <w:pPr>
      <w:keepNext/>
      <w:keepLines/>
      <w:spacing w:before="40"/>
      <w:outlineLvl w:val="1"/>
    </w:pPr>
    <w:rPr>
      <w:rFonts w:ascii="Aptos Display" w:eastAsia="Yu Gothic Light" w:hAnsi="Aptos Display"/>
      <w:color w:val="0F4761"/>
      <w:kern w:val="2"/>
      <w:sz w:val="32"/>
      <w:szCs w:val="32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22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bdr w:val="none" w:sz="0" w:space="0" w:color="auto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8D09EA"/>
    <w:pPr>
      <w:ind w:left="720"/>
      <w:contextualSpacing/>
    </w:pPr>
  </w:style>
  <w:style w:type="table" w:styleId="TableGrid">
    <w:name w:val="Table Grid"/>
    <w:basedOn w:val="TableNormal"/>
    <w:uiPriority w:val="39"/>
    <w:rsid w:val="008D0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D09EA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09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3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8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8D3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22A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C54A1"/>
    <w:rPr>
      <w:color w:val="FF00FF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01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unhideWhenUsed/>
    <w:qFormat/>
    <w:rsid w:val="000E4D9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6" w:lineRule="auto"/>
      <w:outlineLvl w:val="1"/>
    </w:pPr>
    <w:rPr>
      <w:rFonts w:ascii="Aptos Display" w:eastAsia="Yu Gothic Light" w:hAnsi="Aptos Display"/>
      <w:color w:val="0F4761"/>
      <w:kern w:val="2"/>
      <w:sz w:val="32"/>
      <w:szCs w:val="32"/>
      <w:bdr w:val="none" w:sz="0" w:space="0" w:color="auto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D9B"/>
    <w:rPr>
      <w:rFonts w:ascii="Aptos Display" w:eastAsia="Yu Gothic Light" w:hAnsi="Aptos Display"/>
      <w:color w:val="0F4761"/>
      <w:kern w:val="2"/>
      <w:sz w:val="32"/>
      <w:szCs w:val="32"/>
      <w:bdr w:val="none" w:sz="0" w:space="0" w:color="auto"/>
      <w:lang w:val="en-US" w:eastAsia="en-US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0E4D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118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kern w:val="2"/>
      <w:sz w:val="22"/>
      <w:szCs w:val="22"/>
      <w:bdr w:val="none" w:sz="0" w:space="0" w:color="auto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5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tew\AppData\Local\Temp\431b245d-fe51-4e24-901b-0a1f213bb850_SPREP%20PROE%20Templates%20general.zip.850\SPREP%20PROE%20Templates%20general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47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Nanette Woonton</dc:creator>
  <cp:lastModifiedBy>'Ofa Fa'anunu</cp:lastModifiedBy>
  <cp:revision>7</cp:revision>
  <cp:lastPrinted>2024-02-26T03:11:00Z</cp:lastPrinted>
  <dcterms:created xsi:type="dcterms:W3CDTF">2026-05-27T00:08:00Z</dcterms:created>
  <dcterms:modified xsi:type="dcterms:W3CDTF">2026-05-31T07:01:00Z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