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3394" w:rsidRDefault="001B3394" w14:paraId="4E92470E" w14:textId="77777777">
      <w:pPr>
        <w:pStyle w:val="WRPTitle"/>
        <w:jc w:val="center"/>
      </w:pPr>
    </w:p>
    <w:p w:rsidR="0037504C" w:rsidRDefault="00A25540" w14:paraId="1CBAECF5" w14:textId="780EC9BF">
      <w:pPr>
        <w:pStyle w:val="WRPTitle"/>
        <w:jc w:val="center"/>
      </w:pPr>
      <w:r w:rsidR="4BB4716A">
        <w:rPr/>
        <w:t xml:space="preserve">Annex 3 </w:t>
      </w:r>
      <w:r w:rsidR="00A25540">
        <w:rPr/>
        <w:t>Weather Ready Pacific Charter</w:t>
      </w:r>
    </w:p>
    <w:p w:rsidR="0037504C" w:rsidRDefault="0037504C" w14:paraId="745DF365" w14:textId="06A7A964">
      <w:pPr>
        <w:pStyle w:val="WRPSubtitle"/>
        <w:jc w:val="center"/>
      </w:pPr>
    </w:p>
    <w:tbl>
      <w:tblPr>
        <w:tblW w:w="0" w:type="auto"/>
        <w:jc w:val="center"/>
        <w:tblLayout w:type="fixed"/>
        <w:tblLook w:val="04A0" w:firstRow="1" w:lastRow="0" w:firstColumn="1" w:lastColumn="0" w:noHBand="0" w:noVBand="1"/>
      </w:tblPr>
      <w:tblGrid>
        <w:gridCol w:w="2880"/>
        <w:gridCol w:w="6048"/>
      </w:tblGrid>
      <w:tr w:rsidR="0037504C" w14:paraId="0E452678" w14:textId="77777777">
        <w:trPr>
          <w:jc w:val="center"/>
        </w:trPr>
        <w:tc>
          <w:tcPr>
            <w:tcW w:w="2880" w:type="dxa"/>
            <w:shd w:val="clear" w:color="auto" w:fill="DCE6F2"/>
            <w:vAlign w:val="center"/>
          </w:tcPr>
          <w:p w:rsidR="0037504C" w:rsidRDefault="00A25540" w14:paraId="534F70B6" w14:textId="77777777">
            <w:pPr>
              <w:spacing w:after="0"/>
            </w:pPr>
            <w:r>
              <w:rPr>
                <w:b/>
              </w:rPr>
              <w:t>Document</w:t>
            </w:r>
          </w:p>
        </w:tc>
        <w:tc>
          <w:tcPr>
            <w:tcW w:w="6048" w:type="dxa"/>
            <w:shd w:val="clear" w:color="auto" w:fill="F7FAFD"/>
            <w:vAlign w:val="center"/>
          </w:tcPr>
          <w:p w:rsidR="0037504C" w:rsidRDefault="00A25540" w14:paraId="29A3DC3F" w14:textId="40CFC1BE">
            <w:pPr>
              <w:spacing w:after="0"/>
            </w:pPr>
            <w:r>
              <w:t xml:space="preserve">WRP Charter </w:t>
            </w:r>
          </w:p>
        </w:tc>
      </w:tr>
      <w:tr w:rsidR="0037504C" w14:paraId="37E6A13C" w14:textId="77777777">
        <w:trPr>
          <w:jc w:val="center"/>
        </w:trPr>
        <w:tc>
          <w:tcPr>
            <w:tcW w:w="2880" w:type="dxa"/>
            <w:shd w:val="clear" w:color="auto" w:fill="DCE6F2"/>
            <w:vAlign w:val="center"/>
          </w:tcPr>
          <w:p w:rsidR="0037504C" w:rsidRDefault="00A25540" w14:paraId="0DE18B4F" w14:textId="77777777">
            <w:pPr>
              <w:spacing w:after="0"/>
            </w:pPr>
            <w:r>
              <w:rPr>
                <w:b/>
              </w:rPr>
              <w:t>Status</w:t>
            </w:r>
          </w:p>
        </w:tc>
        <w:tc>
          <w:tcPr>
            <w:tcW w:w="6048" w:type="dxa"/>
            <w:shd w:val="clear" w:color="auto" w:fill="F7FAFD"/>
            <w:vAlign w:val="center"/>
          </w:tcPr>
          <w:p w:rsidR="0037504C" w:rsidRDefault="00A25540" w14:paraId="20AA14A4" w14:textId="77777777">
            <w:pPr>
              <w:spacing w:after="0"/>
            </w:pPr>
            <w:r>
              <w:t>Draft for review</w:t>
            </w:r>
          </w:p>
        </w:tc>
      </w:tr>
      <w:tr w:rsidR="0037504C" w14:paraId="1F179EE5" w14:textId="77777777">
        <w:trPr>
          <w:jc w:val="center"/>
        </w:trPr>
        <w:tc>
          <w:tcPr>
            <w:tcW w:w="2880" w:type="dxa"/>
            <w:shd w:val="clear" w:color="auto" w:fill="DCE6F2"/>
            <w:vAlign w:val="center"/>
          </w:tcPr>
          <w:p w:rsidR="0037504C" w:rsidRDefault="00A25540" w14:paraId="25C4437B" w14:textId="77777777">
            <w:pPr>
              <w:spacing w:after="0"/>
            </w:pPr>
            <w:r>
              <w:rPr>
                <w:b/>
              </w:rPr>
              <w:t>Purpose</w:t>
            </w:r>
          </w:p>
        </w:tc>
        <w:tc>
          <w:tcPr>
            <w:tcW w:w="6048" w:type="dxa"/>
            <w:shd w:val="clear" w:color="auto" w:fill="F7FAFD"/>
            <w:vAlign w:val="center"/>
          </w:tcPr>
          <w:p w:rsidR="0037504C" w:rsidRDefault="0046486A" w14:paraId="755D8080" w14:textId="2CE24AE7">
            <w:pPr>
              <w:spacing w:after="0"/>
            </w:pPr>
            <w:r w:rsidRPr="0046486A">
              <w:t>The Charter is not an operational document. The Operations Manual explains how WRP is run on a day-to-day basis; the Charter establishes the higher-level governance, funding and accountability framework that sits above the</w:t>
            </w:r>
            <w:r>
              <w:t xml:space="preserve"> Operations</w:t>
            </w:r>
            <w:r w:rsidRPr="0046486A">
              <w:t xml:space="preserve"> Manual, binds donors into a common structure, and anchors key matters such as  the WRP Pooled Fund and the unified governance/reporting model.</w:t>
            </w:r>
            <w:r w:rsidR="00B97AA3">
              <w:t xml:space="preserve"> T</w:t>
            </w:r>
            <w:r w:rsidRPr="00B97AA3" w:rsidR="00B97AA3">
              <w:t>he Charter gives WRP a stable, programme-level “constitution”, while the Operations Manual can be updated more readily as procedures evolve.</w:t>
            </w:r>
          </w:p>
        </w:tc>
      </w:tr>
    </w:tbl>
    <w:p w:rsidR="0037504C" w:rsidRDefault="0037504C" w14:paraId="68377C59" w14:textId="31995D86">
      <w:pPr/>
    </w:p>
    <w:p w:rsidR="2CEC5C12" w:rsidP="2CEC5C12" w:rsidRDefault="2CEC5C12" w14:paraId="5694FD11" w14:textId="136D15AA">
      <w:pPr>
        <w:spacing w:after="4" w:line="268" w:lineRule="auto"/>
        <w:ind w:left="118" w:hanging="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AC3B8EE" w:rsidP="2CEC5C12" w:rsidRDefault="2AC3B8EE" w14:paraId="3B7D9AC3" w14:textId="4C3E11E4">
      <w:pPr>
        <w:spacing w:after="0" w:line="240" w:lineRule="auto"/>
        <w:ind w:left="118" w:hanging="10"/>
        <w:jc w:val="both"/>
        <w:rPr>
          <w:rFonts w:ascii="Aptos" w:hAnsi="Aptos" w:eastAsia="Aptos" w:cs="Aptos"/>
          <w:b w:val="0"/>
          <w:bCs w:val="0"/>
          <w:i w:val="0"/>
          <w:iCs w:val="0"/>
          <w:caps w:val="0"/>
          <w:smallCaps w:val="0"/>
          <w:noProof w:val="0"/>
          <w:color w:val="000000" w:themeColor="text1" w:themeTint="FF" w:themeShade="FF"/>
          <w:sz w:val="22"/>
          <w:szCs w:val="22"/>
          <w:lang w:val="en-US"/>
        </w:rPr>
      </w:pPr>
      <w:r w:rsidRPr="2CEC5C12" w:rsidR="2AC3B8EE">
        <w:rPr>
          <w:rFonts w:ascii="Aptos" w:hAnsi="Aptos" w:eastAsia="Aptos" w:cs="Aptos"/>
          <w:b w:val="1"/>
          <w:bCs w:val="1"/>
          <w:i w:val="0"/>
          <w:iCs w:val="0"/>
          <w:caps w:val="0"/>
          <w:smallCaps w:val="0"/>
          <w:noProof w:val="0"/>
          <w:color w:val="000000" w:themeColor="text1" w:themeTint="FF" w:themeShade="FF"/>
          <w:sz w:val="22"/>
          <w:szCs w:val="22"/>
          <w:lang w:val="en-US"/>
        </w:rPr>
        <w:t>Version History</w:t>
      </w:r>
      <w:r w:rsidRPr="2CEC5C12" w:rsidR="2AC3B8EE">
        <w:rPr>
          <w:rFonts w:ascii="Aptos" w:hAnsi="Aptos" w:eastAsia="Aptos" w:cs="Aptos"/>
          <w:b w:val="0"/>
          <w:bCs w:val="0"/>
          <w:i w:val="0"/>
          <w:iCs w:val="0"/>
          <w:caps w:val="0"/>
          <w:smallCaps w:val="0"/>
          <w:noProof w:val="0"/>
          <w:color w:val="000000" w:themeColor="text1" w:themeTint="FF" w:themeShade="FF"/>
          <w:sz w:val="22"/>
          <w:szCs w:val="22"/>
          <w:lang w:val="en-AU"/>
        </w:rPr>
        <w:t> </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530"/>
        <w:gridCol w:w="1110"/>
        <w:gridCol w:w="6345"/>
      </w:tblGrid>
      <w:tr w:rsidR="2CEC5C12" w:rsidTr="2CEC5C12" w14:paraId="711FED7F">
        <w:trPr>
          <w:trHeight w:val="300"/>
        </w:trPr>
        <w:tc>
          <w:tcPr>
            <w:tcW w:w="1530" w:type="dxa"/>
            <w:tcBorders>
              <w:top w:val="single" w:sz="6"/>
              <w:left w:val="single" w:sz="6"/>
              <w:bottom w:val="single" w:sz="6"/>
              <w:right w:val="single" w:sz="6"/>
            </w:tcBorders>
            <w:tcMar>
              <w:left w:w="105" w:type="dxa"/>
              <w:right w:w="105" w:type="dxa"/>
            </w:tcMar>
            <w:vAlign w:val="top"/>
          </w:tcPr>
          <w:p w:rsidR="2CEC5C12" w:rsidP="2CEC5C12" w:rsidRDefault="2CEC5C12" w14:paraId="66A4C29D" w14:textId="45CA469E">
            <w:pPr>
              <w:spacing w:after="0" w:line="240" w:lineRule="auto"/>
              <w:ind w:left="118" w:hanging="10"/>
              <w:jc w:val="both"/>
              <w:rPr>
                <w:rFonts w:ascii="Aptos" w:hAnsi="Aptos" w:eastAsia="Aptos" w:cs="Aptos"/>
                <w:b w:val="0"/>
                <w:bCs w:val="0"/>
                <w:i w:val="0"/>
                <w:iCs w:val="0"/>
                <w:color w:val="000000" w:themeColor="text1" w:themeTint="FF" w:themeShade="FF"/>
                <w:sz w:val="22"/>
                <w:szCs w:val="22"/>
              </w:rPr>
            </w:pPr>
            <w:r w:rsidRPr="2CEC5C12" w:rsidR="2CEC5C12">
              <w:rPr>
                <w:rFonts w:ascii="Aptos" w:hAnsi="Aptos" w:eastAsia="Aptos" w:cs="Aptos"/>
                <w:b w:val="0"/>
                <w:bCs w:val="0"/>
                <w:i w:val="0"/>
                <w:iCs w:val="0"/>
                <w:color w:val="000000" w:themeColor="text1" w:themeTint="FF" w:themeShade="FF"/>
                <w:sz w:val="22"/>
                <w:szCs w:val="22"/>
                <w:lang w:val="en-AU"/>
              </w:rPr>
              <w:t>Date </w:t>
            </w:r>
          </w:p>
        </w:tc>
        <w:tc>
          <w:tcPr>
            <w:tcW w:w="1110" w:type="dxa"/>
            <w:tcBorders>
              <w:top w:val="single" w:sz="6"/>
              <w:left w:val="single" w:sz="6"/>
              <w:bottom w:val="single" w:sz="6"/>
              <w:right w:val="single" w:sz="6"/>
            </w:tcBorders>
            <w:tcMar>
              <w:left w:w="105" w:type="dxa"/>
              <w:right w:w="105" w:type="dxa"/>
            </w:tcMar>
            <w:vAlign w:val="top"/>
          </w:tcPr>
          <w:p w:rsidR="2CEC5C12" w:rsidP="2CEC5C12" w:rsidRDefault="2CEC5C12" w14:paraId="7EB224C7" w14:textId="0D738F63">
            <w:pPr>
              <w:spacing w:after="0" w:line="240" w:lineRule="auto"/>
              <w:ind w:left="118" w:hanging="10"/>
              <w:jc w:val="both"/>
              <w:rPr>
                <w:rFonts w:ascii="Aptos" w:hAnsi="Aptos" w:eastAsia="Aptos" w:cs="Aptos"/>
                <w:b w:val="0"/>
                <w:bCs w:val="0"/>
                <w:i w:val="0"/>
                <w:iCs w:val="0"/>
                <w:color w:val="000000" w:themeColor="text1" w:themeTint="FF" w:themeShade="FF"/>
                <w:sz w:val="22"/>
                <w:szCs w:val="22"/>
              </w:rPr>
            </w:pPr>
            <w:r w:rsidRPr="2CEC5C12" w:rsidR="2CEC5C12">
              <w:rPr>
                <w:rFonts w:ascii="Aptos" w:hAnsi="Aptos" w:eastAsia="Aptos" w:cs="Aptos"/>
                <w:b w:val="0"/>
                <w:bCs w:val="0"/>
                <w:i w:val="0"/>
                <w:iCs w:val="0"/>
                <w:color w:val="000000" w:themeColor="text1" w:themeTint="FF" w:themeShade="FF"/>
                <w:sz w:val="22"/>
                <w:szCs w:val="22"/>
                <w:lang w:val="en-AU"/>
              </w:rPr>
              <w:t>Version </w:t>
            </w:r>
          </w:p>
        </w:tc>
        <w:tc>
          <w:tcPr>
            <w:tcW w:w="6345" w:type="dxa"/>
            <w:tcBorders>
              <w:top w:val="single" w:sz="6"/>
              <w:left w:val="single" w:sz="6"/>
              <w:bottom w:val="single" w:sz="6"/>
              <w:right w:val="single" w:sz="6"/>
            </w:tcBorders>
            <w:tcMar>
              <w:left w:w="105" w:type="dxa"/>
              <w:right w:w="105" w:type="dxa"/>
            </w:tcMar>
            <w:vAlign w:val="top"/>
          </w:tcPr>
          <w:p w:rsidR="2CEC5C12" w:rsidP="2CEC5C12" w:rsidRDefault="2CEC5C12" w14:paraId="61272F0C" w14:textId="00701D80">
            <w:pPr>
              <w:spacing w:after="0" w:line="240" w:lineRule="auto"/>
              <w:ind w:left="118" w:hanging="10"/>
              <w:jc w:val="both"/>
              <w:rPr>
                <w:rFonts w:ascii="Aptos" w:hAnsi="Aptos" w:eastAsia="Aptos" w:cs="Aptos"/>
                <w:b w:val="0"/>
                <w:bCs w:val="0"/>
                <w:i w:val="0"/>
                <w:iCs w:val="0"/>
                <w:color w:val="000000" w:themeColor="text1" w:themeTint="FF" w:themeShade="FF"/>
                <w:sz w:val="22"/>
                <w:szCs w:val="22"/>
              </w:rPr>
            </w:pPr>
            <w:r w:rsidRPr="2CEC5C12" w:rsidR="2CEC5C12">
              <w:rPr>
                <w:rFonts w:ascii="Aptos" w:hAnsi="Aptos" w:eastAsia="Aptos" w:cs="Aptos"/>
                <w:b w:val="0"/>
                <w:bCs w:val="0"/>
                <w:i w:val="0"/>
                <w:iCs w:val="0"/>
                <w:color w:val="000000" w:themeColor="text1" w:themeTint="FF" w:themeShade="FF"/>
                <w:sz w:val="22"/>
                <w:szCs w:val="22"/>
                <w:lang w:val="en-AU"/>
              </w:rPr>
              <w:t>Author/Revisor </w:t>
            </w:r>
          </w:p>
        </w:tc>
      </w:tr>
      <w:tr w:rsidR="2CEC5C12" w:rsidTr="2CEC5C12" w14:paraId="7E98DFA5">
        <w:trPr>
          <w:trHeight w:val="300"/>
        </w:trPr>
        <w:tc>
          <w:tcPr>
            <w:tcW w:w="1530" w:type="dxa"/>
            <w:tcBorders>
              <w:top w:val="single" w:sz="6"/>
              <w:left w:val="single" w:sz="6"/>
              <w:bottom w:val="single" w:sz="6"/>
              <w:right w:val="single" w:sz="6"/>
            </w:tcBorders>
            <w:tcMar>
              <w:left w:w="105" w:type="dxa"/>
              <w:right w:w="105" w:type="dxa"/>
            </w:tcMar>
            <w:vAlign w:val="top"/>
          </w:tcPr>
          <w:p w:rsidR="638DAB5F" w:rsidP="2CEC5C12" w:rsidRDefault="638DAB5F" w14:paraId="730E9DF2" w14:textId="4444A3D2">
            <w:pPr>
              <w:pStyle w:val="Normal"/>
              <w:suppressLineNumbers w:val="0"/>
              <w:bidi w:val="0"/>
              <w:spacing w:before="0" w:beforeAutospacing="off" w:after="0" w:afterAutospacing="off" w:line="240" w:lineRule="auto"/>
              <w:ind w:left="118" w:right="0" w:hanging="10"/>
              <w:jc w:val="both"/>
            </w:pPr>
            <w:r w:rsidRPr="2CEC5C12" w:rsidR="638DAB5F">
              <w:rPr>
                <w:rFonts w:ascii="Aptos" w:hAnsi="Aptos" w:eastAsia="Aptos" w:cs="Aptos"/>
                <w:b w:val="0"/>
                <w:bCs w:val="0"/>
                <w:i w:val="0"/>
                <w:iCs w:val="0"/>
                <w:color w:val="000000" w:themeColor="text1" w:themeTint="FF" w:themeShade="FF"/>
                <w:sz w:val="22"/>
                <w:szCs w:val="22"/>
                <w:lang w:val="en-AU"/>
              </w:rPr>
              <w:t>8/5/26</w:t>
            </w:r>
          </w:p>
        </w:tc>
        <w:tc>
          <w:tcPr>
            <w:tcW w:w="1110" w:type="dxa"/>
            <w:tcBorders>
              <w:top w:val="single" w:sz="6"/>
              <w:left w:val="single" w:sz="6"/>
              <w:bottom w:val="single" w:sz="6"/>
              <w:right w:val="single" w:sz="6"/>
            </w:tcBorders>
            <w:tcMar>
              <w:left w:w="105" w:type="dxa"/>
              <w:right w:w="105" w:type="dxa"/>
            </w:tcMar>
            <w:vAlign w:val="top"/>
          </w:tcPr>
          <w:p w:rsidR="3514680F" w:rsidP="2CEC5C12" w:rsidRDefault="3514680F" w14:paraId="4C266067" w14:textId="459E24BB">
            <w:pPr>
              <w:spacing w:after="0" w:line="240" w:lineRule="auto"/>
              <w:ind w:left="118" w:hanging="10"/>
              <w:jc w:val="both"/>
              <w:rPr>
                <w:rFonts w:ascii="Aptos" w:hAnsi="Aptos" w:eastAsia="Aptos" w:cs="Aptos"/>
                <w:b w:val="0"/>
                <w:bCs w:val="0"/>
                <w:i w:val="0"/>
                <w:iCs w:val="0"/>
                <w:color w:val="000000" w:themeColor="text1" w:themeTint="FF" w:themeShade="FF"/>
                <w:sz w:val="22"/>
                <w:szCs w:val="22"/>
              </w:rPr>
            </w:pPr>
            <w:r w:rsidRPr="2CEC5C12" w:rsidR="3514680F">
              <w:rPr>
                <w:rFonts w:ascii="Aptos" w:hAnsi="Aptos" w:eastAsia="Aptos" w:cs="Aptos"/>
                <w:b w:val="0"/>
                <w:bCs w:val="0"/>
                <w:i w:val="0"/>
                <w:iCs w:val="0"/>
                <w:color w:val="000000" w:themeColor="text1" w:themeTint="FF" w:themeShade="FF"/>
                <w:sz w:val="22"/>
                <w:szCs w:val="22"/>
                <w:lang w:val="en-AU"/>
              </w:rPr>
              <w:t>0.</w:t>
            </w:r>
            <w:r w:rsidRPr="2CEC5C12" w:rsidR="2CEC5C12">
              <w:rPr>
                <w:rFonts w:ascii="Aptos" w:hAnsi="Aptos" w:eastAsia="Aptos" w:cs="Aptos"/>
                <w:b w:val="0"/>
                <w:bCs w:val="0"/>
                <w:i w:val="0"/>
                <w:iCs w:val="0"/>
                <w:color w:val="000000" w:themeColor="text1" w:themeTint="FF" w:themeShade="FF"/>
                <w:sz w:val="22"/>
                <w:szCs w:val="22"/>
                <w:lang w:val="en-AU"/>
              </w:rPr>
              <w:t>1 </w:t>
            </w:r>
          </w:p>
        </w:tc>
        <w:tc>
          <w:tcPr>
            <w:tcW w:w="6345" w:type="dxa"/>
            <w:tcBorders>
              <w:top w:val="single" w:sz="6"/>
              <w:left w:val="single" w:sz="6"/>
              <w:bottom w:val="single" w:sz="6"/>
              <w:right w:val="single" w:sz="6"/>
            </w:tcBorders>
            <w:tcMar>
              <w:left w:w="105" w:type="dxa"/>
              <w:right w:w="105" w:type="dxa"/>
            </w:tcMar>
            <w:vAlign w:val="top"/>
          </w:tcPr>
          <w:p w:rsidR="748A21EC" w:rsidP="2CEC5C12" w:rsidRDefault="748A21EC" w14:paraId="39B45EB4" w14:textId="138028F3">
            <w:pPr>
              <w:pStyle w:val="Normal"/>
              <w:suppressLineNumbers w:val="0"/>
              <w:bidi w:val="0"/>
              <w:spacing w:before="0" w:beforeAutospacing="off" w:after="0" w:afterAutospacing="off" w:line="240" w:lineRule="auto"/>
              <w:ind w:left="118" w:right="0" w:hanging="10"/>
              <w:jc w:val="both"/>
            </w:pPr>
            <w:r w:rsidRPr="2CEC5C12" w:rsidR="748A21EC">
              <w:rPr>
                <w:rFonts w:ascii="Aptos" w:hAnsi="Aptos" w:eastAsia="Aptos" w:cs="Aptos"/>
                <w:b w:val="0"/>
                <w:bCs w:val="0"/>
                <w:i w:val="0"/>
                <w:iCs w:val="0"/>
                <w:color w:val="000000" w:themeColor="text1" w:themeTint="FF" w:themeShade="FF"/>
                <w:sz w:val="22"/>
                <w:szCs w:val="22"/>
                <w:lang w:val="en-AU"/>
              </w:rPr>
              <w:t>For Donor Review</w:t>
            </w:r>
          </w:p>
        </w:tc>
      </w:tr>
      <w:tr w:rsidR="2CEC5C12" w:rsidTr="2CEC5C12" w14:paraId="6A9D2036">
        <w:trPr>
          <w:trHeight w:val="300"/>
        </w:trPr>
        <w:tc>
          <w:tcPr>
            <w:tcW w:w="1530" w:type="dxa"/>
            <w:tcBorders>
              <w:top w:val="single" w:sz="6"/>
              <w:left w:val="single" w:sz="6"/>
              <w:bottom w:val="single" w:sz="6"/>
              <w:right w:val="single" w:sz="6"/>
            </w:tcBorders>
            <w:tcMar>
              <w:left w:w="105" w:type="dxa"/>
              <w:right w:w="105" w:type="dxa"/>
            </w:tcMar>
            <w:vAlign w:val="top"/>
          </w:tcPr>
          <w:p w:rsidR="2CEC5C12" w:rsidP="2CEC5C12" w:rsidRDefault="2CEC5C12" w14:paraId="7D8DC6C5" w14:textId="62469909">
            <w:pPr>
              <w:spacing w:after="0" w:line="240" w:lineRule="auto"/>
              <w:ind w:left="118" w:hanging="10"/>
              <w:jc w:val="both"/>
              <w:rPr>
                <w:rFonts w:ascii="Aptos" w:hAnsi="Aptos" w:eastAsia="Aptos" w:cs="Aptos"/>
                <w:b w:val="0"/>
                <w:bCs w:val="0"/>
                <w:i w:val="0"/>
                <w:iCs w:val="0"/>
                <w:color w:val="000000" w:themeColor="text1" w:themeTint="FF" w:themeShade="FF"/>
                <w:sz w:val="22"/>
                <w:szCs w:val="22"/>
                <w:lang w:val="en-AU"/>
              </w:rPr>
            </w:pPr>
          </w:p>
        </w:tc>
        <w:tc>
          <w:tcPr>
            <w:tcW w:w="1110" w:type="dxa"/>
            <w:tcBorders>
              <w:top w:val="single" w:sz="6"/>
              <w:left w:val="single" w:sz="6"/>
              <w:bottom w:val="single" w:sz="6"/>
              <w:right w:val="single" w:sz="6"/>
            </w:tcBorders>
            <w:tcMar>
              <w:left w:w="105" w:type="dxa"/>
              <w:right w:w="105" w:type="dxa"/>
            </w:tcMar>
            <w:vAlign w:val="top"/>
          </w:tcPr>
          <w:p w:rsidR="2CEC5C12" w:rsidP="2CEC5C12" w:rsidRDefault="2CEC5C12" w14:paraId="4DB1079D" w14:textId="45448D00">
            <w:pPr>
              <w:spacing w:after="0" w:line="240" w:lineRule="auto"/>
              <w:ind w:left="118" w:hanging="10"/>
              <w:jc w:val="both"/>
              <w:rPr>
                <w:rFonts w:ascii="Aptos" w:hAnsi="Aptos" w:eastAsia="Aptos" w:cs="Aptos"/>
                <w:b w:val="0"/>
                <w:bCs w:val="0"/>
                <w:i w:val="0"/>
                <w:iCs w:val="0"/>
                <w:color w:val="000000" w:themeColor="text1" w:themeTint="FF" w:themeShade="FF"/>
                <w:sz w:val="22"/>
                <w:szCs w:val="22"/>
                <w:lang w:val="en-AU"/>
              </w:rPr>
            </w:pPr>
          </w:p>
        </w:tc>
        <w:tc>
          <w:tcPr>
            <w:tcW w:w="6345" w:type="dxa"/>
            <w:tcBorders>
              <w:top w:val="single" w:sz="6"/>
              <w:left w:val="single" w:sz="6"/>
              <w:bottom w:val="single" w:sz="6"/>
              <w:right w:val="single" w:sz="6"/>
            </w:tcBorders>
            <w:tcMar>
              <w:left w:w="105" w:type="dxa"/>
              <w:right w:w="105" w:type="dxa"/>
            </w:tcMar>
            <w:vAlign w:val="top"/>
          </w:tcPr>
          <w:p w:rsidR="2CEC5C12" w:rsidP="2CEC5C12" w:rsidRDefault="2CEC5C12" w14:paraId="65ADF48C" w14:textId="0E40CBA7">
            <w:pPr>
              <w:spacing w:after="0" w:line="240" w:lineRule="auto"/>
              <w:ind w:left="118" w:hanging="10"/>
              <w:jc w:val="both"/>
              <w:rPr>
                <w:rFonts w:ascii="Aptos" w:hAnsi="Aptos" w:eastAsia="Aptos" w:cs="Aptos"/>
                <w:b w:val="0"/>
                <w:bCs w:val="0"/>
                <w:i w:val="0"/>
                <w:iCs w:val="0"/>
                <w:color w:val="000000" w:themeColor="text1" w:themeTint="FF" w:themeShade="FF"/>
                <w:sz w:val="22"/>
                <w:szCs w:val="22"/>
                <w:lang w:val="en-AU"/>
              </w:rPr>
            </w:pPr>
          </w:p>
        </w:tc>
      </w:tr>
      <w:tr w:rsidR="2CEC5C12" w:rsidTr="2CEC5C12" w14:paraId="42D6B5DA">
        <w:trPr>
          <w:trHeight w:val="300"/>
        </w:trPr>
        <w:tc>
          <w:tcPr>
            <w:tcW w:w="1530" w:type="dxa"/>
            <w:tcBorders>
              <w:top w:val="single" w:sz="6"/>
              <w:left w:val="single" w:sz="6"/>
              <w:bottom w:val="single" w:sz="6"/>
              <w:right w:val="single" w:sz="6"/>
            </w:tcBorders>
            <w:tcMar>
              <w:left w:w="105" w:type="dxa"/>
              <w:right w:w="105" w:type="dxa"/>
            </w:tcMar>
            <w:vAlign w:val="top"/>
          </w:tcPr>
          <w:p w:rsidR="2CEC5C12" w:rsidP="2CEC5C12" w:rsidRDefault="2CEC5C12" w14:paraId="735AF465" w14:textId="2EC4C02E">
            <w:pPr>
              <w:spacing w:after="0" w:line="240" w:lineRule="auto"/>
              <w:ind w:left="118" w:hanging="10"/>
              <w:jc w:val="both"/>
              <w:rPr>
                <w:rFonts w:ascii="Aptos" w:hAnsi="Aptos" w:eastAsia="Aptos" w:cs="Aptos"/>
                <w:b w:val="0"/>
                <w:bCs w:val="0"/>
                <w:i w:val="0"/>
                <w:iCs w:val="0"/>
                <w:color w:val="000000" w:themeColor="text1" w:themeTint="FF" w:themeShade="FF"/>
                <w:sz w:val="22"/>
                <w:szCs w:val="22"/>
                <w:lang w:val="en-AU"/>
              </w:rPr>
            </w:pPr>
          </w:p>
        </w:tc>
        <w:tc>
          <w:tcPr>
            <w:tcW w:w="1110" w:type="dxa"/>
            <w:tcBorders>
              <w:top w:val="single" w:sz="6"/>
              <w:left w:val="single" w:sz="6"/>
              <w:bottom w:val="single" w:sz="6"/>
              <w:right w:val="single" w:sz="6"/>
            </w:tcBorders>
            <w:tcMar>
              <w:left w:w="105" w:type="dxa"/>
              <w:right w:w="105" w:type="dxa"/>
            </w:tcMar>
            <w:vAlign w:val="top"/>
          </w:tcPr>
          <w:p w:rsidR="2CEC5C12" w:rsidP="2CEC5C12" w:rsidRDefault="2CEC5C12" w14:paraId="406413CB" w14:textId="1A8D76C4">
            <w:pPr>
              <w:spacing w:after="0" w:line="240" w:lineRule="auto"/>
              <w:ind w:left="118" w:hanging="10"/>
              <w:jc w:val="both"/>
              <w:rPr>
                <w:rFonts w:ascii="Aptos" w:hAnsi="Aptos" w:eastAsia="Aptos" w:cs="Aptos"/>
                <w:b w:val="0"/>
                <w:bCs w:val="0"/>
                <w:i w:val="0"/>
                <w:iCs w:val="0"/>
                <w:color w:val="000000" w:themeColor="text1" w:themeTint="FF" w:themeShade="FF"/>
                <w:sz w:val="22"/>
                <w:szCs w:val="22"/>
                <w:lang w:val="en-AU"/>
              </w:rPr>
            </w:pPr>
          </w:p>
        </w:tc>
        <w:tc>
          <w:tcPr>
            <w:tcW w:w="6345" w:type="dxa"/>
            <w:tcBorders>
              <w:top w:val="single" w:sz="6"/>
              <w:left w:val="single" w:sz="6"/>
              <w:bottom w:val="single" w:sz="6"/>
              <w:right w:val="single" w:sz="6"/>
            </w:tcBorders>
            <w:tcMar>
              <w:left w:w="105" w:type="dxa"/>
              <w:right w:w="105" w:type="dxa"/>
            </w:tcMar>
            <w:vAlign w:val="top"/>
          </w:tcPr>
          <w:p w:rsidR="2CEC5C12" w:rsidP="2CEC5C12" w:rsidRDefault="2CEC5C12" w14:paraId="739DE4B5" w14:textId="231E5E69">
            <w:pPr>
              <w:spacing w:after="0" w:line="240" w:lineRule="auto"/>
              <w:ind w:left="118" w:hanging="10"/>
              <w:jc w:val="both"/>
              <w:rPr>
                <w:rFonts w:ascii="Aptos" w:hAnsi="Aptos" w:eastAsia="Aptos" w:cs="Aptos"/>
                <w:b w:val="0"/>
                <w:bCs w:val="0"/>
                <w:i w:val="0"/>
                <w:iCs w:val="0"/>
                <w:color w:val="000000" w:themeColor="text1" w:themeTint="FF" w:themeShade="FF"/>
                <w:sz w:val="22"/>
                <w:szCs w:val="22"/>
                <w:lang w:val="en-AU"/>
              </w:rPr>
            </w:pPr>
          </w:p>
        </w:tc>
      </w:tr>
      <w:tr w:rsidR="2CEC5C12" w:rsidTr="2CEC5C12" w14:paraId="5DF99CF8">
        <w:trPr>
          <w:trHeight w:val="300"/>
        </w:trPr>
        <w:tc>
          <w:tcPr>
            <w:tcW w:w="1530" w:type="dxa"/>
            <w:tcBorders>
              <w:top w:val="single" w:sz="6"/>
              <w:left w:val="single" w:sz="6"/>
              <w:bottom w:val="single" w:sz="6"/>
              <w:right w:val="single" w:sz="6"/>
            </w:tcBorders>
            <w:tcMar>
              <w:left w:w="105" w:type="dxa"/>
              <w:right w:w="105" w:type="dxa"/>
            </w:tcMar>
            <w:vAlign w:val="top"/>
          </w:tcPr>
          <w:p w:rsidR="2CEC5C12" w:rsidP="2CEC5C12" w:rsidRDefault="2CEC5C12" w14:paraId="48AB1F17" w14:textId="186CDCE0">
            <w:pPr>
              <w:spacing w:after="0" w:line="240" w:lineRule="auto"/>
              <w:ind w:left="118" w:hanging="10"/>
              <w:jc w:val="both"/>
              <w:rPr>
                <w:rFonts w:ascii="Aptos" w:hAnsi="Aptos" w:eastAsia="Aptos" w:cs="Aptos"/>
                <w:b w:val="0"/>
                <w:bCs w:val="0"/>
                <w:i w:val="0"/>
                <w:iCs w:val="0"/>
                <w:color w:val="000000" w:themeColor="text1" w:themeTint="FF" w:themeShade="FF"/>
                <w:sz w:val="22"/>
                <w:szCs w:val="22"/>
                <w:lang w:val="en-AU"/>
              </w:rPr>
            </w:pPr>
          </w:p>
        </w:tc>
        <w:tc>
          <w:tcPr>
            <w:tcW w:w="1110" w:type="dxa"/>
            <w:tcBorders>
              <w:top w:val="single" w:sz="6"/>
              <w:left w:val="single" w:sz="6"/>
              <w:bottom w:val="single" w:sz="6"/>
              <w:right w:val="single" w:sz="6"/>
            </w:tcBorders>
            <w:tcMar>
              <w:left w:w="105" w:type="dxa"/>
              <w:right w:w="105" w:type="dxa"/>
            </w:tcMar>
            <w:vAlign w:val="top"/>
          </w:tcPr>
          <w:p w:rsidR="2CEC5C12" w:rsidP="2CEC5C12" w:rsidRDefault="2CEC5C12" w14:paraId="0E179FD0" w14:textId="19817138">
            <w:pPr>
              <w:spacing w:after="0" w:line="240" w:lineRule="auto"/>
              <w:ind w:left="118" w:hanging="10"/>
              <w:jc w:val="both"/>
              <w:rPr>
                <w:rFonts w:ascii="Aptos" w:hAnsi="Aptos" w:eastAsia="Aptos" w:cs="Aptos"/>
                <w:b w:val="0"/>
                <w:bCs w:val="0"/>
                <w:i w:val="0"/>
                <w:iCs w:val="0"/>
                <w:color w:val="000000" w:themeColor="text1" w:themeTint="FF" w:themeShade="FF"/>
                <w:sz w:val="22"/>
                <w:szCs w:val="22"/>
                <w:lang w:val="en-AU"/>
              </w:rPr>
            </w:pPr>
          </w:p>
        </w:tc>
        <w:tc>
          <w:tcPr>
            <w:tcW w:w="6345" w:type="dxa"/>
            <w:tcBorders>
              <w:top w:val="single" w:sz="6"/>
              <w:left w:val="single" w:sz="6"/>
              <w:bottom w:val="single" w:sz="6"/>
              <w:right w:val="single" w:sz="6"/>
            </w:tcBorders>
            <w:tcMar>
              <w:left w:w="105" w:type="dxa"/>
              <w:right w:w="105" w:type="dxa"/>
            </w:tcMar>
            <w:vAlign w:val="top"/>
          </w:tcPr>
          <w:p w:rsidR="2CEC5C12" w:rsidP="2CEC5C12" w:rsidRDefault="2CEC5C12" w14:paraId="37275789" w14:textId="22687A3E">
            <w:pPr>
              <w:spacing w:after="0" w:line="240" w:lineRule="auto"/>
              <w:ind w:left="118" w:hanging="10"/>
              <w:jc w:val="both"/>
              <w:rPr>
                <w:rFonts w:ascii="Aptos" w:hAnsi="Aptos" w:eastAsia="Aptos" w:cs="Aptos"/>
                <w:b w:val="0"/>
                <w:bCs w:val="0"/>
                <w:i w:val="0"/>
                <w:iCs w:val="0"/>
                <w:color w:val="000000" w:themeColor="text1" w:themeTint="FF" w:themeShade="FF"/>
                <w:sz w:val="22"/>
                <w:szCs w:val="22"/>
                <w:lang w:val="en-AU"/>
              </w:rPr>
            </w:pPr>
          </w:p>
        </w:tc>
      </w:tr>
    </w:tbl>
    <w:p w:rsidR="2AC3B8EE" w:rsidP="2CEC5C12" w:rsidRDefault="2AC3B8EE" w14:paraId="4111C633" w14:textId="196DFB96">
      <w:pPr>
        <w:bidi w:val="0"/>
        <w:spacing w:after="0" w:line="240" w:lineRule="auto"/>
        <w:ind w:left="118" w:hanging="10"/>
        <w:jc w:val="both"/>
        <w:rPr>
          <w:rFonts w:ascii="Aptos" w:hAnsi="Aptos" w:eastAsia="Aptos" w:cs="Aptos"/>
          <w:b w:val="0"/>
          <w:bCs w:val="0"/>
          <w:i w:val="0"/>
          <w:iCs w:val="0"/>
          <w:caps w:val="0"/>
          <w:smallCaps w:val="0"/>
          <w:noProof w:val="0"/>
          <w:color w:val="000000" w:themeColor="text1" w:themeTint="FF" w:themeShade="FF"/>
          <w:sz w:val="22"/>
          <w:szCs w:val="22"/>
          <w:lang w:val="en-US"/>
        </w:rPr>
      </w:pPr>
      <w:r w:rsidRPr="2CEC5C12" w:rsidR="2AC3B8EE">
        <w:rPr>
          <w:rFonts w:ascii="Aptos" w:hAnsi="Aptos" w:eastAsia="Aptos" w:cs="Aptos"/>
          <w:b w:val="0"/>
          <w:bCs w:val="0"/>
          <w:i w:val="0"/>
          <w:iCs w:val="0"/>
          <w:caps w:val="0"/>
          <w:smallCaps w:val="0"/>
          <w:noProof w:val="0"/>
          <w:color w:val="000000" w:themeColor="text1" w:themeTint="FF" w:themeShade="FF"/>
          <w:sz w:val="22"/>
          <w:szCs w:val="22"/>
          <w:lang w:val="en-AU"/>
        </w:rPr>
        <w:t> </w:t>
      </w:r>
    </w:p>
    <w:p w:rsidR="2AC3B8EE" w:rsidP="2CEC5C12" w:rsidRDefault="2AC3B8EE" w14:paraId="1EF134F4" w14:textId="674C8F26">
      <w:pPr>
        <w:bidi w:val="0"/>
        <w:spacing w:after="0" w:line="240" w:lineRule="auto"/>
        <w:ind w:left="118" w:hanging="10"/>
        <w:jc w:val="both"/>
        <w:rPr>
          <w:rFonts w:ascii="Aptos" w:hAnsi="Aptos" w:eastAsia="Aptos" w:cs="Aptos"/>
          <w:b w:val="0"/>
          <w:bCs w:val="0"/>
          <w:i w:val="0"/>
          <w:iCs w:val="0"/>
          <w:caps w:val="0"/>
          <w:smallCaps w:val="0"/>
          <w:noProof w:val="0"/>
          <w:color w:val="000000" w:themeColor="text1" w:themeTint="FF" w:themeShade="FF"/>
          <w:sz w:val="22"/>
          <w:szCs w:val="22"/>
          <w:lang w:val="en-US"/>
        </w:rPr>
      </w:pPr>
      <w:r w:rsidRPr="2CEC5C12" w:rsidR="2AC3B8EE">
        <w:rPr>
          <w:rFonts w:ascii="Aptos" w:hAnsi="Aptos" w:eastAsia="Aptos" w:cs="Aptos"/>
          <w:b w:val="0"/>
          <w:bCs w:val="0"/>
          <w:i w:val="0"/>
          <w:iCs w:val="0"/>
          <w:caps w:val="0"/>
          <w:smallCaps w:val="0"/>
          <w:noProof w:val="0"/>
          <w:color w:val="000000" w:themeColor="text1" w:themeTint="FF" w:themeShade="FF"/>
          <w:sz w:val="22"/>
          <w:szCs w:val="22"/>
          <w:lang w:val="en-AU"/>
        </w:rPr>
        <w:t> </w:t>
      </w:r>
    </w:p>
    <w:p w:rsidR="2AC3B8EE" w:rsidP="2CEC5C12" w:rsidRDefault="2AC3B8EE" w14:paraId="01881ED1" w14:textId="3BEB0074">
      <w:pPr>
        <w:bidi w:val="0"/>
        <w:spacing w:after="0" w:line="240" w:lineRule="auto"/>
        <w:ind w:left="118" w:hanging="10"/>
        <w:jc w:val="both"/>
        <w:rPr>
          <w:rFonts w:ascii="Aptos" w:hAnsi="Aptos" w:eastAsia="Aptos" w:cs="Aptos"/>
          <w:b w:val="0"/>
          <w:bCs w:val="0"/>
          <w:i w:val="0"/>
          <w:iCs w:val="0"/>
          <w:caps w:val="0"/>
          <w:smallCaps w:val="0"/>
          <w:noProof w:val="0"/>
          <w:color w:val="000000" w:themeColor="text1" w:themeTint="FF" w:themeShade="FF"/>
          <w:sz w:val="22"/>
          <w:szCs w:val="22"/>
          <w:lang w:val="en-US"/>
        </w:rPr>
      </w:pPr>
      <w:r w:rsidRPr="2CEC5C12" w:rsidR="2AC3B8EE">
        <w:rPr>
          <w:rFonts w:ascii="Aptos" w:hAnsi="Aptos" w:eastAsia="Aptos" w:cs="Aptos"/>
          <w:b w:val="1"/>
          <w:bCs w:val="1"/>
          <w:i w:val="0"/>
          <w:iCs w:val="0"/>
          <w:caps w:val="0"/>
          <w:smallCaps w:val="0"/>
          <w:noProof w:val="0"/>
          <w:color w:val="000000" w:themeColor="text1" w:themeTint="FF" w:themeShade="FF"/>
          <w:sz w:val="22"/>
          <w:szCs w:val="22"/>
          <w:lang w:val="en-US"/>
        </w:rPr>
        <w:t>Approvals</w:t>
      </w:r>
      <w:r w:rsidRPr="2CEC5C12" w:rsidR="2AC3B8EE">
        <w:rPr>
          <w:rFonts w:ascii="Aptos" w:hAnsi="Aptos" w:eastAsia="Aptos" w:cs="Aptos"/>
          <w:b w:val="0"/>
          <w:bCs w:val="0"/>
          <w:i w:val="0"/>
          <w:iCs w:val="0"/>
          <w:caps w:val="0"/>
          <w:smallCaps w:val="0"/>
          <w:noProof w:val="0"/>
          <w:color w:val="000000" w:themeColor="text1" w:themeTint="FF" w:themeShade="FF"/>
          <w:sz w:val="22"/>
          <w:szCs w:val="22"/>
          <w:lang w:val="en-AU"/>
        </w:rPr>
        <w:t> </w:t>
      </w:r>
    </w:p>
    <w:tbl>
      <w:tblPr>
        <w:tblStyle w:val="TableNormal"/>
        <w:bidiVisual w:val="0"/>
        <w:tblW w:w="9000" w:type="dxa"/>
        <w:tblBorders>
          <w:top w:val="single" w:sz="6"/>
          <w:left w:val="single" w:sz="6"/>
          <w:bottom w:val="single" w:sz="6"/>
          <w:right w:val="single" w:sz="6"/>
        </w:tblBorders>
        <w:tblLook w:val="04A0" w:firstRow="1" w:lastRow="0" w:firstColumn="1" w:lastColumn="0" w:noHBand="0" w:noVBand="1"/>
      </w:tblPr>
      <w:tblGrid>
        <w:gridCol w:w="1695"/>
        <w:gridCol w:w="1155"/>
        <w:gridCol w:w="4365"/>
        <w:gridCol w:w="1785"/>
      </w:tblGrid>
      <w:tr w:rsidR="2CEC5C12" w:rsidTr="7370872C" w14:paraId="47596EBF">
        <w:trPr>
          <w:trHeight w:val="300"/>
        </w:trPr>
        <w:tc>
          <w:tcPr>
            <w:tcW w:w="1695" w:type="dxa"/>
            <w:tcBorders>
              <w:top w:val="single" w:sz="6"/>
              <w:left w:val="single" w:sz="6"/>
              <w:bottom w:val="single" w:sz="6"/>
              <w:right w:val="single" w:sz="6"/>
            </w:tcBorders>
            <w:tcMar>
              <w:left w:w="105" w:type="dxa"/>
              <w:right w:w="105" w:type="dxa"/>
            </w:tcMar>
            <w:vAlign w:val="top"/>
          </w:tcPr>
          <w:p w:rsidR="2CEC5C12" w:rsidP="2CEC5C12" w:rsidRDefault="2CEC5C12" w14:paraId="4CE72704" w14:textId="632AE5FF">
            <w:pPr>
              <w:bidi w:val="0"/>
              <w:spacing w:after="0" w:line="240" w:lineRule="auto"/>
              <w:ind w:left="118" w:hanging="10"/>
              <w:jc w:val="both"/>
              <w:rPr>
                <w:rFonts w:ascii="Aptos" w:hAnsi="Aptos" w:eastAsia="Aptos" w:cs="Aptos"/>
                <w:b w:val="0"/>
                <w:bCs w:val="0"/>
                <w:i w:val="0"/>
                <w:iCs w:val="0"/>
                <w:color w:val="000000" w:themeColor="text1" w:themeTint="FF" w:themeShade="FF"/>
                <w:sz w:val="22"/>
                <w:szCs w:val="22"/>
              </w:rPr>
            </w:pPr>
            <w:r w:rsidRPr="2CEC5C12" w:rsidR="2CEC5C12">
              <w:rPr>
                <w:rFonts w:ascii="Aptos" w:hAnsi="Aptos" w:eastAsia="Aptos" w:cs="Aptos"/>
                <w:b w:val="0"/>
                <w:bCs w:val="0"/>
                <w:i w:val="0"/>
                <w:iCs w:val="0"/>
                <w:color w:val="000000" w:themeColor="text1" w:themeTint="FF" w:themeShade="FF"/>
                <w:sz w:val="22"/>
                <w:szCs w:val="22"/>
                <w:lang w:val="en-AU"/>
              </w:rPr>
              <w:t>Date </w:t>
            </w:r>
          </w:p>
        </w:tc>
        <w:tc>
          <w:tcPr>
            <w:tcW w:w="1155" w:type="dxa"/>
            <w:tcBorders>
              <w:top w:val="single" w:sz="6"/>
              <w:left w:val="single" w:sz="6"/>
              <w:bottom w:val="single" w:sz="6"/>
              <w:right w:val="single" w:sz="6"/>
            </w:tcBorders>
            <w:tcMar>
              <w:left w:w="105" w:type="dxa"/>
              <w:right w:w="105" w:type="dxa"/>
            </w:tcMar>
            <w:vAlign w:val="top"/>
          </w:tcPr>
          <w:p w:rsidR="2CEC5C12" w:rsidP="2CEC5C12" w:rsidRDefault="2CEC5C12" w14:paraId="0C96B0FF" w14:textId="0A7F141B">
            <w:pPr>
              <w:bidi w:val="0"/>
              <w:spacing w:after="0" w:line="240" w:lineRule="auto"/>
              <w:ind w:left="118" w:hanging="10"/>
              <w:jc w:val="both"/>
              <w:rPr>
                <w:rFonts w:ascii="Aptos" w:hAnsi="Aptos" w:eastAsia="Aptos" w:cs="Aptos"/>
                <w:b w:val="0"/>
                <w:bCs w:val="0"/>
                <w:i w:val="0"/>
                <w:iCs w:val="0"/>
                <w:color w:val="000000" w:themeColor="text1" w:themeTint="FF" w:themeShade="FF"/>
                <w:sz w:val="22"/>
                <w:szCs w:val="22"/>
              </w:rPr>
            </w:pPr>
            <w:r w:rsidRPr="2CEC5C12" w:rsidR="2CEC5C12">
              <w:rPr>
                <w:rFonts w:ascii="Aptos" w:hAnsi="Aptos" w:eastAsia="Aptos" w:cs="Aptos"/>
                <w:b w:val="0"/>
                <w:bCs w:val="0"/>
                <w:i w:val="0"/>
                <w:iCs w:val="0"/>
                <w:color w:val="000000" w:themeColor="text1" w:themeTint="FF" w:themeShade="FF"/>
                <w:sz w:val="22"/>
                <w:szCs w:val="22"/>
                <w:lang w:val="en-AU"/>
              </w:rPr>
              <w:t>Version </w:t>
            </w:r>
          </w:p>
        </w:tc>
        <w:tc>
          <w:tcPr>
            <w:tcW w:w="4365" w:type="dxa"/>
            <w:tcBorders>
              <w:top w:val="single" w:sz="6"/>
              <w:left w:val="single" w:sz="6"/>
              <w:bottom w:val="single" w:sz="6"/>
              <w:right w:val="single" w:sz="6"/>
            </w:tcBorders>
            <w:tcMar>
              <w:left w:w="105" w:type="dxa"/>
              <w:right w:w="105" w:type="dxa"/>
            </w:tcMar>
            <w:vAlign w:val="top"/>
          </w:tcPr>
          <w:p w:rsidR="2CEC5C12" w:rsidP="7370872C" w:rsidRDefault="2CEC5C12" w14:paraId="24FBCC22" w14:noSpellErr="1" w14:textId="360F8571">
            <w:pPr>
              <w:bidi w:val="0"/>
              <w:spacing w:after="0" w:line="240" w:lineRule="auto"/>
              <w:ind w:left="118" w:hanging="10"/>
              <w:jc w:val="both"/>
              <w:rPr>
                <w:rFonts w:ascii="Aptos" w:hAnsi="Aptos" w:eastAsia="Aptos" w:cs="Aptos"/>
                <w:b w:val="0"/>
                <w:bCs w:val="0"/>
                <w:i w:val="0"/>
                <w:iCs w:val="0"/>
                <w:color w:val="000000" w:themeColor="text1" w:themeTint="FF" w:themeShade="FF"/>
                <w:sz w:val="22"/>
                <w:szCs w:val="22"/>
              </w:rPr>
            </w:pPr>
            <w:r w:rsidRPr="7370872C" w:rsidR="2CEC5C12">
              <w:rPr>
                <w:rFonts w:ascii="Aptos" w:hAnsi="Aptos" w:eastAsia="Aptos" w:cs="Aptos"/>
                <w:b w:val="0"/>
                <w:bCs w:val="0"/>
                <w:i w:val="0"/>
                <w:iCs w:val="0"/>
                <w:color w:val="000000" w:themeColor="text1" w:themeTint="FF" w:themeShade="FF"/>
                <w:sz w:val="22"/>
                <w:szCs w:val="22"/>
                <w:lang w:val="en-AU"/>
              </w:rPr>
              <w:t xml:space="preserve">Meeting that approved the </w:t>
            </w:r>
            <w:r w:rsidRPr="7370872C" w:rsidR="46069FB3">
              <w:rPr>
                <w:rFonts w:ascii="Aptos" w:hAnsi="Aptos" w:eastAsia="Aptos" w:cs="Aptos"/>
                <w:b w:val="0"/>
                <w:bCs w:val="0"/>
                <w:i w:val="0"/>
                <w:iCs w:val="0"/>
                <w:color w:val="000000" w:themeColor="text1" w:themeTint="FF" w:themeShade="FF"/>
                <w:sz w:val="22"/>
                <w:szCs w:val="22"/>
                <w:lang w:val="en-AU"/>
              </w:rPr>
              <w:t>Charter</w:t>
            </w:r>
          </w:p>
        </w:tc>
        <w:tc>
          <w:tcPr>
            <w:tcW w:w="1785" w:type="dxa"/>
            <w:tcBorders>
              <w:top w:val="single" w:sz="6"/>
              <w:left w:val="single" w:sz="6"/>
              <w:bottom w:val="single" w:sz="6"/>
              <w:right w:val="single" w:sz="6"/>
            </w:tcBorders>
            <w:tcMar>
              <w:left w:w="105" w:type="dxa"/>
              <w:right w:w="105" w:type="dxa"/>
            </w:tcMar>
            <w:vAlign w:val="top"/>
          </w:tcPr>
          <w:p w:rsidR="2CEC5C12" w:rsidP="2CEC5C12" w:rsidRDefault="2CEC5C12" w14:paraId="239F024B" w14:textId="341C8822">
            <w:pPr>
              <w:bidi w:val="0"/>
              <w:spacing w:after="0" w:line="240" w:lineRule="auto"/>
              <w:ind w:left="118" w:hanging="10"/>
              <w:jc w:val="both"/>
              <w:rPr>
                <w:rFonts w:ascii="Aptos" w:hAnsi="Aptos" w:eastAsia="Aptos" w:cs="Aptos"/>
                <w:b w:val="0"/>
                <w:bCs w:val="0"/>
                <w:i w:val="0"/>
                <w:iCs w:val="0"/>
                <w:color w:val="000000" w:themeColor="text1" w:themeTint="FF" w:themeShade="FF"/>
                <w:sz w:val="22"/>
                <w:szCs w:val="22"/>
              </w:rPr>
            </w:pPr>
            <w:r w:rsidRPr="2CEC5C12" w:rsidR="2CEC5C12">
              <w:rPr>
                <w:rFonts w:ascii="Aptos" w:hAnsi="Aptos" w:eastAsia="Aptos" w:cs="Aptos"/>
                <w:b w:val="0"/>
                <w:bCs w:val="0"/>
                <w:i w:val="0"/>
                <w:iCs w:val="0"/>
                <w:color w:val="000000" w:themeColor="text1" w:themeTint="FF" w:themeShade="FF"/>
                <w:sz w:val="22"/>
                <w:szCs w:val="22"/>
                <w:lang w:val="en-AU"/>
              </w:rPr>
              <w:t>Chair  </w:t>
            </w:r>
          </w:p>
        </w:tc>
      </w:tr>
      <w:tr w:rsidR="2CEC5C12" w:rsidTr="7370872C" w14:paraId="180DED71">
        <w:trPr>
          <w:trHeight w:val="300"/>
        </w:trPr>
        <w:tc>
          <w:tcPr>
            <w:tcW w:w="1695" w:type="dxa"/>
            <w:tcBorders>
              <w:top w:val="single" w:sz="6"/>
              <w:left w:val="single" w:sz="6"/>
              <w:bottom w:val="single" w:sz="6"/>
              <w:right w:val="single" w:sz="6"/>
            </w:tcBorders>
            <w:tcMar>
              <w:left w:w="105" w:type="dxa"/>
              <w:right w:w="105" w:type="dxa"/>
            </w:tcMar>
            <w:vAlign w:val="top"/>
          </w:tcPr>
          <w:p w:rsidR="2CEC5C12" w:rsidP="7370872C" w:rsidRDefault="2CEC5C12" w14:paraId="5E45AEB7" w14:textId="5619256D">
            <w:pPr>
              <w:bidi w:val="0"/>
              <w:spacing w:after="0" w:line="240" w:lineRule="auto"/>
              <w:ind w:left="118" w:hanging="10"/>
              <w:jc w:val="both"/>
              <w:rPr>
                <w:rFonts w:ascii="Aptos" w:hAnsi="Aptos" w:eastAsia="Aptos" w:cs="Aptos"/>
                <w:b w:val="0"/>
                <w:bCs w:val="0"/>
                <w:i w:val="0"/>
                <w:iCs w:val="0"/>
                <w:color w:val="000000" w:themeColor="text1" w:themeTint="FF" w:themeShade="FF"/>
                <w:sz w:val="22"/>
                <w:szCs w:val="22"/>
                <w:lang w:val="en-AU"/>
              </w:rPr>
            </w:pPr>
          </w:p>
        </w:tc>
        <w:tc>
          <w:tcPr>
            <w:tcW w:w="1155" w:type="dxa"/>
            <w:tcBorders>
              <w:top w:val="single" w:sz="6"/>
              <w:left w:val="single" w:sz="6"/>
              <w:bottom w:val="single" w:sz="6"/>
              <w:right w:val="single" w:sz="6"/>
            </w:tcBorders>
            <w:tcMar>
              <w:left w:w="105" w:type="dxa"/>
              <w:right w:w="105" w:type="dxa"/>
            </w:tcMar>
            <w:vAlign w:val="top"/>
          </w:tcPr>
          <w:p w:rsidR="2CEC5C12" w:rsidP="7370872C" w:rsidRDefault="2CEC5C12" w14:paraId="4D749E48" w14:textId="0E95F827">
            <w:pPr>
              <w:bidi w:val="0"/>
              <w:spacing w:after="0" w:line="240" w:lineRule="auto"/>
              <w:ind w:left="118" w:hanging="10"/>
              <w:jc w:val="both"/>
              <w:rPr>
                <w:rFonts w:ascii="Aptos" w:hAnsi="Aptos" w:eastAsia="Aptos" w:cs="Aptos"/>
                <w:b w:val="0"/>
                <w:bCs w:val="0"/>
                <w:i w:val="0"/>
                <w:iCs w:val="0"/>
                <w:color w:val="000000" w:themeColor="text1" w:themeTint="FF" w:themeShade="FF"/>
                <w:sz w:val="22"/>
                <w:szCs w:val="22"/>
                <w:lang w:val="en-AU"/>
              </w:rPr>
            </w:pPr>
          </w:p>
        </w:tc>
        <w:tc>
          <w:tcPr>
            <w:tcW w:w="4365" w:type="dxa"/>
            <w:tcBorders>
              <w:top w:val="single" w:sz="6"/>
              <w:left w:val="single" w:sz="6"/>
              <w:bottom w:val="single" w:sz="6"/>
              <w:right w:val="single" w:sz="6"/>
            </w:tcBorders>
            <w:tcMar>
              <w:left w:w="105" w:type="dxa"/>
              <w:right w:w="105" w:type="dxa"/>
            </w:tcMar>
            <w:vAlign w:val="top"/>
          </w:tcPr>
          <w:p w:rsidR="2CEC5C12" w:rsidP="7370872C" w:rsidRDefault="2CEC5C12" w14:paraId="7241E79C" w14:textId="0A0A6129">
            <w:pPr>
              <w:bidi w:val="0"/>
              <w:spacing w:after="0" w:line="240" w:lineRule="auto"/>
              <w:ind w:left="118" w:hanging="10"/>
              <w:jc w:val="both"/>
              <w:rPr>
                <w:rFonts w:ascii="Aptos" w:hAnsi="Aptos" w:eastAsia="Aptos" w:cs="Aptos"/>
                <w:b w:val="0"/>
                <w:bCs w:val="0"/>
                <w:i w:val="0"/>
                <w:iCs w:val="0"/>
                <w:color w:val="000000" w:themeColor="text1" w:themeTint="FF" w:themeShade="FF"/>
                <w:sz w:val="22"/>
                <w:szCs w:val="22"/>
                <w:lang w:val="en-AU"/>
              </w:rPr>
            </w:pPr>
          </w:p>
        </w:tc>
        <w:tc>
          <w:tcPr>
            <w:tcW w:w="1785" w:type="dxa"/>
            <w:tcBorders>
              <w:top w:val="single" w:sz="6"/>
              <w:left w:val="single" w:sz="6"/>
              <w:bottom w:val="single" w:sz="6"/>
              <w:right w:val="single" w:sz="6"/>
            </w:tcBorders>
            <w:tcMar>
              <w:left w:w="105" w:type="dxa"/>
              <w:right w:w="105" w:type="dxa"/>
            </w:tcMar>
            <w:vAlign w:val="top"/>
          </w:tcPr>
          <w:p w:rsidR="2CEC5C12" w:rsidP="7370872C" w:rsidRDefault="2CEC5C12" w14:paraId="319E43FC" w14:textId="2F9299A3">
            <w:pPr>
              <w:bidi w:val="0"/>
              <w:spacing w:after="0" w:line="240" w:lineRule="auto"/>
              <w:ind w:left="118" w:hanging="10"/>
              <w:jc w:val="both"/>
              <w:rPr>
                <w:rFonts w:ascii="Aptos" w:hAnsi="Aptos" w:eastAsia="Aptos" w:cs="Aptos"/>
                <w:b w:val="0"/>
                <w:bCs w:val="0"/>
                <w:i w:val="0"/>
                <w:iCs w:val="0"/>
                <w:color w:val="000000" w:themeColor="text1" w:themeTint="FF" w:themeShade="FF"/>
                <w:sz w:val="22"/>
                <w:szCs w:val="22"/>
                <w:lang w:val="en-AU"/>
              </w:rPr>
            </w:pPr>
          </w:p>
        </w:tc>
      </w:tr>
      <w:tr w:rsidR="2CEC5C12" w:rsidTr="7370872C" w14:paraId="20365421">
        <w:trPr>
          <w:trHeight w:val="300"/>
        </w:trPr>
        <w:tc>
          <w:tcPr>
            <w:tcW w:w="1695" w:type="dxa"/>
            <w:tcBorders>
              <w:top w:val="single" w:sz="6"/>
              <w:left w:val="single" w:sz="6"/>
              <w:bottom w:val="single" w:sz="6"/>
              <w:right w:val="single" w:sz="6"/>
            </w:tcBorders>
            <w:tcMar>
              <w:left w:w="105" w:type="dxa"/>
              <w:right w:w="105" w:type="dxa"/>
            </w:tcMar>
            <w:vAlign w:val="top"/>
          </w:tcPr>
          <w:p w:rsidR="2CEC5C12" w:rsidP="7370872C" w:rsidRDefault="2CEC5C12" w14:paraId="7168B84F" w14:textId="082E8A2E">
            <w:pPr>
              <w:bidi w:val="0"/>
              <w:spacing w:after="0" w:line="240" w:lineRule="auto"/>
              <w:ind w:left="118" w:hanging="10"/>
              <w:jc w:val="both"/>
              <w:rPr>
                <w:rFonts w:ascii="Aptos" w:hAnsi="Aptos" w:eastAsia="Aptos" w:cs="Aptos"/>
                <w:b w:val="0"/>
                <w:bCs w:val="0"/>
                <w:i w:val="0"/>
                <w:iCs w:val="0"/>
                <w:color w:val="000000" w:themeColor="text1" w:themeTint="FF" w:themeShade="FF"/>
                <w:sz w:val="22"/>
                <w:szCs w:val="22"/>
                <w:lang w:val="en-AU"/>
              </w:rPr>
            </w:pPr>
          </w:p>
        </w:tc>
        <w:tc>
          <w:tcPr>
            <w:tcW w:w="1155" w:type="dxa"/>
            <w:tcBorders>
              <w:top w:val="single" w:sz="6"/>
              <w:left w:val="single" w:sz="6"/>
              <w:bottom w:val="single" w:sz="6"/>
              <w:right w:val="single" w:sz="6"/>
            </w:tcBorders>
            <w:tcMar>
              <w:left w:w="105" w:type="dxa"/>
              <w:right w:w="105" w:type="dxa"/>
            </w:tcMar>
            <w:vAlign w:val="top"/>
          </w:tcPr>
          <w:p w:rsidR="2CEC5C12" w:rsidP="7370872C" w:rsidRDefault="2CEC5C12" w14:paraId="75B0AD27" w14:textId="0472FDDB">
            <w:pPr>
              <w:bidi w:val="0"/>
              <w:spacing w:after="0" w:line="240" w:lineRule="auto"/>
              <w:ind w:left="118" w:hanging="10"/>
              <w:jc w:val="both"/>
              <w:rPr>
                <w:rFonts w:ascii="Aptos" w:hAnsi="Aptos" w:eastAsia="Aptos" w:cs="Aptos"/>
                <w:b w:val="0"/>
                <w:bCs w:val="0"/>
                <w:i w:val="0"/>
                <w:iCs w:val="0"/>
                <w:color w:val="000000" w:themeColor="text1" w:themeTint="FF" w:themeShade="FF"/>
                <w:sz w:val="22"/>
                <w:szCs w:val="22"/>
                <w:lang w:val="en-AU"/>
              </w:rPr>
            </w:pPr>
          </w:p>
        </w:tc>
        <w:tc>
          <w:tcPr>
            <w:tcW w:w="4365" w:type="dxa"/>
            <w:tcBorders>
              <w:top w:val="single" w:sz="6"/>
              <w:left w:val="single" w:sz="6"/>
              <w:bottom w:val="single" w:sz="6"/>
              <w:right w:val="single" w:sz="6"/>
            </w:tcBorders>
            <w:tcMar>
              <w:left w:w="105" w:type="dxa"/>
              <w:right w:w="105" w:type="dxa"/>
            </w:tcMar>
            <w:vAlign w:val="top"/>
          </w:tcPr>
          <w:p w:rsidR="2CEC5C12" w:rsidP="7370872C" w:rsidRDefault="2CEC5C12" w14:paraId="1C75625C" w14:textId="7B51D67D">
            <w:pPr>
              <w:bidi w:val="0"/>
              <w:spacing w:after="0" w:line="240" w:lineRule="auto"/>
              <w:ind w:left="118" w:hanging="10"/>
              <w:jc w:val="both"/>
              <w:rPr>
                <w:rFonts w:ascii="Aptos" w:hAnsi="Aptos" w:eastAsia="Aptos" w:cs="Aptos"/>
                <w:b w:val="0"/>
                <w:bCs w:val="0"/>
                <w:i w:val="0"/>
                <w:iCs w:val="0"/>
                <w:color w:val="000000" w:themeColor="text1" w:themeTint="FF" w:themeShade="FF"/>
                <w:sz w:val="22"/>
                <w:szCs w:val="22"/>
                <w:lang w:val="en-AU"/>
              </w:rPr>
            </w:pPr>
          </w:p>
        </w:tc>
        <w:tc>
          <w:tcPr>
            <w:tcW w:w="1785" w:type="dxa"/>
            <w:tcBorders>
              <w:top w:val="single" w:sz="6"/>
              <w:left w:val="single" w:sz="6"/>
              <w:bottom w:val="single" w:sz="6"/>
              <w:right w:val="single" w:sz="6"/>
            </w:tcBorders>
            <w:tcMar>
              <w:left w:w="105" w:type="dxa"/>
              <w:right w:w="105" w:type="dxa"/>
            </w:tcMar>
            <w:vAlign w:val="top"/>
          </w:tcPr>
          <w:p w:rsidR="2CEC5C12" w:rsidP="7370872C" w:rsidRDefault="2CEC5C12" w14:paraId="22BD1430" w14:textId="4BA5673C">
            <w:pPr>
              <w:bidi w:val="0"/>
              <w:spacing w:after="0" w:line="240" w:lineRule="auto"/>
              <w:ind w:left="118" w:hanging="10"/>
              <w:jc w:val="both"/>
              <w:rPr>
                <w:rFonts w:ascii="Aptos" w:hAnsi="Aptos" w:eastAsia="Aptos" w:cs="Aptos"/>
                <w:b w:val="0"/>
                <w:bCs w:val="0"/>
                <w:i w:val="0"/>
                <w:iCs w:val="0"/>
                <w:color w:val="000000" w:themeColor="text1" w:themeTint="FF" w:themeShade="FF"/>
                <w:sz w:val="22"/>
                <w:szCs w:val="22"/>
                <w:lang w:val="en-AU"/>
              </w:rPr>
            </w:pPr>
          </w:p>
        </w:tc>
      </w:tr>
      <w:tr w:rsidR="2CEC5C12" w:rsidTr="7370872C" w14:paraId="2FFACB30">
        <w:trPr>
          <w:trHeight w:val="300"/>
        </w:trPr>
        <w:tc>
          <w:tcPr>
            <w:tcW w:w="1695" w:type="dxa"/>
            <w:tcBorders>
              <w:top w:val="single" w:sz="6"/>
              <w:left w:val="single" w:sz="6"/>
              <w:bottom w:val="single" w:sz="6"/>
              <w:right w:val="single" w:sz="6"/>
            </w:tcBorders>
            <w:tcMar>
              <w:left w:w="105" w:type="dxa"/>
              <w:right w:w="105" w:type="dxa"/>
            </w:tcMar>
            <w:vAlign w:val="top"/>
          </w:tcPr>
          <w:p w:rsidR="2CEC5C12" w:rsidP="7370872C" w:rsidRDefault="2CEC5C12" w14:paraId="6FBB7422" w14:textId="662DA78E">
            <w:pPr>
              <w:bidi w:val="0"/>
              <w:spacing w:after="0" w:line="240" w:lineRule="auto"/>
              <w:ind w:left="118" w:hanging="10"/>
              <w:jc w:val="both"/>
              <w:rPr>
                <w:rFonts w:ascii="Aptos" w:hAnsi="Aptos" w:eastAsia="Aptos" w:cs="Aptos"/>
                <w:b w:val="0"/>
                <w:bCs w:val="0"/>
                <w:i w:val="0"/>
                <w:iCs w:val="0"/>
                <w:color w:val="000000" w:themeColor="text1" w:themeTint="FF" w:themeShade="FF"/>
                <w:sz w:val="22"/>
                <w:szCs w:val="22"/>
                <w:lang w:val="en-AU"/>
              </w:rPr>
            </w:pPr>
          </w:p>
        </w:tc>
        <w:tc>
          <w:tcPr>
            <w:tcW w:w="1155" w:type="dxa"/>
            <w:tcBorders>
              <w:top w:val="single" w:sz="6"/>
              <w:left w:val="single" w:sz="6"/>
              <w:bottom w:val="single" w:sz="6"/>
              <w:right w:val="single" w:sz="6"/>
            </w:tcBorders>
            <w:tcMar>
              <w:left w:w="105" w:type="dxa"/>
              <w:right w:w="105" w:type="dxa"/>
            </w:tcMar>
            <w:vAlign w:val="top"/>
          </w:tcPr>
          <w:p w:rsidR="2CEC5C12" w:rsidP="7370872C" w:rsidRDefault="2CEC5C12" w14:paraId="304807CB" w14:textId="17E4CD05">
            <w:pPr>
              <w:bidi w:val="0"/>
              <w:spacing w:after="0" w:line="240" w:lineRule="auto"/>
              <w:ind w:left="118" w:hanging="10"/>
              <w:jc w:val="both"/>
              <w:rPr>
                <w:rFonts w:ascii="Aptos" w:hAnsi="Aptos" w:eastAsia="Aptos" w:cs="Aptos"/>
                <w:b w:val="0"/>
                <w:bCs w:val="0"/>
                <w:i w:val="0"/>
                <w:iCs w:val="0"/>
                <w:color w:val="000000" w:themeColor="text1" w:themeTint="FF" w:themeShade="FF"/>
                <w:sz w:val="22"/>
                <w:szCs w:val="22"/>
                <w:lang w:val="en-AU"/>
              </w:rPr>
            </w:pPr>
          </w:p>
        </w:tc>
        <w:tc>
          <w:tcPr>
            <w:tcW w:w="4365" w:type="dxa"/>
            <w:tcBorders>
              <w:top w:val="single" w:sz="6"/>
              <w:left w:val="single" w:sz="6"/>
              <w:bottom w:val="single" w:sz="6"/>
              <w:right w:val="single" w:sz="6"/>
            </w:tcBorders>
            <w:tcMar>
              <w:left w:w="105" w:type="dxa"/>
              <w:right w:w="105" w:type="dxa"/>
            </w:tcMar>
            <w:vAlign w:val="top"/>
          </w:tcPr>
          <w:p w:rsidR="2CEC5C12" w:rsidP="7370872C" w:rsidRDefault="2CEC5C12" w14:paraId="776B45FD" w14:textId="5632E5C1">
            <w:pPr>
              <w:bidi w:val="0"/>
              <w:spacing w:after="0" w:line="240" w:lineRule="auto"/>
              <w:ind w:left="118" w:hanging="10"/>
              <w:jc w:val="both"/>
              <w:rPr>
                <w:rFonts w:ascii="Aptos" w:hAnsi="Aptos" w:eastAsia="Aptos" w:cs="Aptos"/>
                <w:b w:val="0"/>
                <w:bCs w:val="0"/>
                <w:i w:val="0"/>
                <w:iCs w:val="0"/>
                <w:color w:val="000000" w:themeColor="text1" w:themeTint="FF" w:themeShade="FF"/>
                <w:sz w:val="22"/>
                <w:szCs w:val="22"/>
                <w:lang w:val="en-AU"/>
              </w:rPr>
            </w:pPr>
          </w:p>
        </w:tc>
        <w:tc>
          <w:tcPr>
            <w:tcW w:w="1785" w:type="dxa"/>
            <w:tcBorders>
              <w:top w:val="single" w:sz="6"/>
              <w:left w:val="single" w:sz="6"/>
              <w:bottom w:val="single" w:sz="6"/>
              <w:right w:val="single" w:sz="6"/>
            </w:tcBorders>
            <w:tcMar>
              <w:left w:w="105" w:type="dxa"/>
              <w:right w:w="105" w:type="dxa"/>
            </w:tcMar>
            <w:vAlign w:val="top"/>
          </w:tcPr>
          <w:p w:rsidR="2CEC5C12" w:rsidP="7370872C" w:rsidRDefault="2CEC5C12" w14:paraId="228CCB7E" w14:textId="7FAF6A76">
            <w:pPr>
              <w:bidi w:val="0"/>
              <w:spacing w:after="0" w:line="240" w:lineRule="auto"/>
              <w:ind w:left="118" w:hanging="10"/>
              <w:jc w:val="both"/>
              <w:rPr>
                <w:rFonts w:ascii="Aptos" w:hAnsi="Aptos" w:eastAsia="Aptos" w:cs="Aptos"/>
                <w:b w:val="0"/>
                <w:bCs w:val="0"/>
                <w:i w:val="0"/>
                <w:iCs w:val="0"/>
                <w:color w:val="000000" w:themeColor="text1" w:themeTint="FF" w:themeShade="FF"/>
                <w:sz w:val="22"/>
                <w:szCs w:val="22"/>
                <w:lang w:val="en-AU"/>
              </w:rPr>
            </w:pPr>
          </w:p>
        </w:tc>
      </w:tr>
    </w:tbl>
    <w:p w:rsidR="2AC3B8EE" w:rsidP="2CEC5C12" w:rsidRDefault="2AC3B8EE" w14:paraId="3DA2E203" w14:textId="5FFC76D1">
      <w:pPr>
        <w:bidi w:val="0"/>
        <w:spacing w:after="0" w:line="240" w:lineRule="auto"/>
        <w:ind w:left="118" w:hanging="10"/>
        <w:jc w:val="both"/>
        <w:rPr>
          <w:rFonts w:ascii="Aptos" w:hAnsi="Aptos" w:eastAsia="Aptos" w:cs="Aptos"/>
          <w:b w:val="0"/>
          <w:bCs w:val="0"/>
          <w:i w:val="0"/>
          <w:iCs w:val="0"/>
          <w:caps w:val="0"/>
          <w:smallCaps w:val="0"/>
          <w:noProof w:val="0"/>
          <w:color w:val="000000" w:themeColor="text1" w:themeTint="FF" w:themeShade="FF"/>
          <w:sz w:val="22"/>
          <w:szCs w:val="22"/>
          <w:lang w:val="en-US"/>
        </w:rPr>
      </w:pPr>
      <w:r w:rsidRPr="2CEC5C12" w:rsidR="2AC3B8EE">
        <w:rPr>
          <w:rFonts w:ascii="Aptos" w:hAnsi="Aptos" w:eastAsia="Aptos" w:cs="Aptos"/>
          <w:b w:val="0"/>
          <w:bCs w:val="0"/>
          <w:i w:val="0"/>
          <w:iCs w:val="0"/>
          <w:caps w:val="0"/>
          <w:smallCaps w:val="0"/>
          <w:noProof w:val="0"/>
          <w:color w:val="000000" w:themeColor="text1" w:themeTint="FF" w:themeShade="FF"/>
          <w:sz w:val="22"/>
          <w:szCs w:val="22"/>
          <w:lang w:val="en-AU"/>
        </w:rPr>
        <w:t> </w:t>
      </w:r>
    </w:p>
    <w:p w:rsidR="2AC3B8EE" w:rsidP="2CEC5C12" w:rsidRDefault="2AC3B8EE" w14:paraId="6F1F06A2" w14:textId="0463DC0C">
      <w:pPr>
        <w:bidi w:val="0"/>
        <w:spacing w:after="0" w:line="240" w:lineRule="auto"/>
        <w:ind w:left="118" w:hanging="10"/>
        <w:jc w:val="both"/>
        <w:rPr>
          <w:rFonts w:ascii="Aptos" w:hAnsi="Aptos" w:eastAsia="Aptos" w:cs="Aptos"/>
          <w:b w:val="0"/>
          <w:bCs w:val="0"/>
          <w:i w:val="0"/>
          <w:iCs w:val="0"/>
          <w:caps w:val="0"/>
          <w:smallCaps w:val="0"/>
          <w:noProof w:val="0"/>
          <w:color w:val="000000" w:themeColor="text1" w:themeTint="FF" w:themeShade="FF"/>
          <w:sz w:val="22"/>
          <w:szCs w:val="22"/>
          <w:lang w:val="en-US"/>
        </w:rPr>
      </w:pPr>
      <w:r w:rsidRPr="2CEC5C12" w:rsidR="2AC3B8EE">
        <w:rPr>
          <w:rFonts w:ascii="Aptos" w:hAnsi="Aptos" w:eastAsia="Aptos" w:cs="Aptos"/>
          <w:b w:val="0"/>
          <w:bCs w:val="0"/>
          <w:i w:val="0"/>
          <w:iCs w:val="0"/>
          <w:caps w:val="0"/>
          <w:smallCaps w:val="0"/>
          <w:noProof w:val="0"/>
          <w:color w:val="000000" w:themeColor="text1" w:themeTint="FF" w:themeShade="FF"/>
          <w:sz w:val="22"/>
          <w:szCs w:val="22"/>
          <w:lang w:val="en-AU"/>
        </w:rPr>
        <w:t>  </w:t>
      </w:r>
    </w:p>
    <w:p w:rsidR="2CEC5C12" w:rsidRDefault="2CEC5C12" w14:paraId="0F5B5394" w14:textId="1D841C8B">
      <w:pPr>
        <w:sectPr w:rsidR="0037504C">
          <w:footerReference w:type="default" r:id="rId11"/>
          <w:pgSz w:w="12240" w:h="15840" w:orient="portrait"/>
          <w:pgMar w:top="1152" w:right="1368" w:bottom="1152" w:left="1368" w:header="720" w:footer="720" w:gutter="0"/>
          <w:cols w:space="720"/>
          <w:docGrid w:linePitch="360"/>
        </w:sectPr>
      </w:pPr>
    </w:p>
    <w:p w:rsidR="0037504C" w:rsidRDefault="00A25540" w14:paraId="33AA5546" w14:textId="77777777">
      <w:pPr>
        <w:pStyle w:val="WRPArticle"/>
      </w:pPr>
      <w:r>
        <w:lastRenderedPageBreak/>
        <w:t>Document structure</w:t>
      </w:r>
    </w:p>
    <w:tbl>
      <w:tblPr>
        <w:tblW w:w="0" w:type="auto"/>
        <w:jc w:val="center"/>
        <w:tblLayout w:type="fixed"/>
        <w:tblLook w:val="04A0" w:firstRow="1" w:lastRow="0" w:firstColumn="1" w:lastColumn="0" w:noHBand="0" w:noVBand="1"/>
      </w:tblPr>
      <w:tblGrid>
        <w:gridCol w:w="4752"/>
        <w:gridCol w:w="6624"/>
      </w:tblGrid>
      <w:tr w:rsidR="0037504C" w14:paraId="50A3BC63" w14:textId="77777777">
        <w:trPr>
          <w:tblHeader/>
          <w:jc w:val="center"/>
        </w:trPr>
        <w:tc>
          <w:tcPr>
            <w:tcW w:w="2880" w:type="dxa"/>
            <w:shd w:val="clear" w:color="auto" w:fill="DCE6F2"/>
          </w:tcPr>
          <w:p w:rsidR="0037504C" w:rsidRDefault="00A25540" w14:paraId="28962A55" w14:textId="77777777">
            <w:r>
              <w:rPr>
                <w:b/>
              </w:rPr>
              <w:t>Part</w:t>
            </w:r>
          </w:p>
        </w:tc>
        <w:tc>
          <w:tcPr>
            <w:tcW w:w="6624" w:type="dxa"/>
            <w:shd w:val="clear" w:color="auto" w:fill="DCE6F2"/>
          </w:tcPr>
          <w:p w:rsidR="0037504C" w:rsidRDefault="00A25540" w14:paraId="23E2D8CB" w14:textId="77777777">
            <w:r>
              <w:rPr>
                <w:b/>
              </w:rPr>
              <w:t>Subject</w:t>
            </w:r>
          </w:p>
        </w:tc>
      </w:tr>
      <w:tr w:rsidR="0037504C" w14:paraId="6B5A1C49" w14:textId="77777777">
        <w:trPr>
          <w:jc w:val="center"/>
        </w:trPr>
        <w:tc>
          <w:tcPr>
            <w:tcW w:w="4752" w:type="dxa"/>
            <w:shd w:val="clear" w:color="auto" w:fill="F3F7FB"/>
          </w:tcPr>
          <w:p w:rsidR="0037504C" w:rsidRDefault="00A25540" w14:paraId="347EF73C" w14:textId="77777777">
            <w:r>
              <w:t>Part I – FOUNDATIONS</w:t>
            </w:r>
          </w:p>
        </w:tc>
        <w:tc>
          <w:tcPr>
            <w:tcW w:w="4752" w:type="dxa"/>
            <w:shd w:val="clear" w:color="auto" w:fill="FFFFFF"/>
          </w:tcPr>
          <w:p w:rsidR="0037504C" w:rsidRDefault="00A25540" w14:paraId="05DF8767" w14:textId="77777777">
            <w:r>
              <w:t>Preamble; Purpose and Legal Status; Objective</w:t>
            </w:r>
          </w:p>
        </w:tc>
      </w:tr>
      <w:tr w:rsidR="0037504C" w14:paraId="6B7F495E" w14:textId="77777777">
        <w:trPr>
          <w:jc w:val="center"/>
        </w:trPr>
        <w:tc>
          <w:tcPr>
            <w:tcW w:w="4752" w:type="dxa"/>
            <w:shd w:val="clear" w:color="auto" w:fill="F3F7FB"/>
          </w:tcPr>
          <w:p w:rsidR="0037504C" w:rsidRDefault="00A25540" w14:paraId="7AFBFA40" w14:textId="77777777">
            <w:r>
              <w:t>Part II – PRINCIPLES</w:t>
            </w:r>
          </w:p>
        </w:tc>
        <w:tc>
          <w:tcPr>
            <w:tcW w:w="4752" w:type="dxa"/>
            <w:shd w:val="clear" w:color="auto" w:fill="FFFFFF"/>
          </w:tcPr>
          <w:p w:rsidR="0037504C" w:rsidRDefault="00A25540" w14:paraId="2FBC7272" w14:textId="77777777">
            <w:r>
              <w:t>WRP Principles; Financial and Fiduciary Principles</w:t>
            </w:r>
          </w:p>
        </w:tc>
      </w:tr>
      <w:tr w:rsidR="0037504C" w14:paraId="4ECB16A0" w14:textId="77777777">
        <w:trPr>
          <w:jc w:val="center"/>
        </w:trPr>
        <w:tc>
          <w:tcPr>
            <w:tcW w:w="4752" w:type="dxa"/>
            <w:shd w:val="clear" w:color="auto" w:fill="F3F7FB"/>
          </w:tcPr>
          <w:p w:rsidR="0037504C" w:rsidRDefault="00A25540" w14:paraId="0D2E7FB5" w14:textId="77777777">
            <w:r>
              <w:t>Part III – GOVERNANCE AUTHORITIES AND DECISION-MAKING</w:t>
            </w:r>
          </w:p>
        </w:tc>
        <w:tc>
          <w:tcPr>
            <w:tcW w:w="4752" w:type="dxa"/>
            <w:shd w:val="clear" w:color="auto" w:fill="FFFFFF"/>
          </w:tcPr>
          <w:p w:rsidR="0037504C" w:rsidRDefault="00A25540" w14:paraId="4BE5ED3D" w14:textId="00604468">
            <w:r>
              <w:t>Institutional Structure; Delegations of Authority</w:t>
            </w:r>
          </w:p>
        </w:tc>
      </w:tr>
      <w:tr w:rsidR="0037504C" w14:paraId="6E9F1D95" w14:textId="77777777">
        <w:trPr>
          <w:jc w:val="center"/>
        </w:trPr>
        <w:tc>
          <w:tcPr>
            <w:tcW w:w="4752" w:type="dxa"/>
            <w:shd w:val="clear" w:color="auto" w:fill="F3F7FB"/>
          </w:tcPr>
          <w:p w:rsidR="0037504C" w:rsidRDefault="00A25540" w14:paraId="602FCD51" w14:textId="77777777">
            <w:r>
              <w:t>Part IV – THE WRP FUNDING FRAMEWORK</w:t>
            </w:r>
          </w:p>
        </w:tc>
        <w:tc>
          <w:tcPr>
            <w:tcW w:w="4752" w:type="dxa"/>
            <w:shd w:val="clear" w:color="auto" w:fill="FFFFFF"/>
          </w:tcPr>
          <w:p w:rsidR="0037504C" w:rsidRDefault="00A25540" w14:paraId="24E48A6C" w14:textId="42AF7E6B">
            <w:r>
              <w:t xml:space="preserve">Funding Philosophy; </w:t>
            </w:r>
            <w:r w:rsidR="00DD7BB9">
              <w:t xml:space="preserve">Donors; </w:t>
            </w:r>
            <w:r>
              <w:t xml:space="preserve">Establishment of the WRP Pooled Fund; </w:t>
            </w:r>
            <w:r w:rsidR="00DD7BB9">
              <w:t>Standard Forms and Templates; Ringfenced Funding</w:t>
            </w:r>
            <w:r>
              <w:t xml:space="preserve">; </w:t>
            </w:r>
            <w:r w:rsidR="00DD7BB9">
              <w:t xml:space="preserve">the Multi-hazard Early Warning Readiness Fund (flexi-fund); Types of Funding Instrument; </w:t>
            </w:r>
            <w:r>
              <w:t xml:space="preserve">Programme Management Fees and Cost Recovery; Allocation </w:t>
            </w:r>
            <w:r w:rsidR="00DD7BB9">
              <w:t>of Resources</w:t>
            </w:r>
          </w:p>
        </w:tc>
      </w:tr>
      <w:tr w:rsidR="0037504C" w14:paraId="6BF64636" w14:textId="77777777">
        <w:trPr>
          <w:jc w:val="center"/>
        </w:trPr>
        <w:tc>
          <w:tcPr>
            <w:tcW w:w="4752" w:type="dxa"/>
            <w:shd w:val="clear" w:color="auto" w:fill="F3F7FB"/>
          </w:tcPr>
          <w:p w:rsidR="0037504C" w:rsidRDefault="00A25540" w14:paraId="693EE0DA" w14:textId="77777777">
            <w:r>
              <w:t>Part V – FINANCIAL STEWARDSHIP AND ACCOUNTABILITY</w:t>
            </w:r>
          </w:p>
        </w:tc>
        <w:tc>
          <w:tcPr>
            <w:tcW w:w="4752" w:type="dxa"/>
            <w:shd w:val="clear" w:color="auto" w:fill="FFFFFF"/>
          </w:tcPr>
          <w:p w:rsidR="0037504C" w:rsidRDefault="00A25540" w14:paraId="2C44F1A0" w14:textId="539B4084">
            <w:r>
              <w:t xml:space="preserve">Financial Governance; Procurement, Due Diligence and Sub-delegation Controls; </w:t>
            </w:r>
            <w:r w:rsidR="00DD7BB9">
              <w:t>Unified Reporting</w:t>
            </w:r>
            <w:r>
              <w:t>; Audit, Assurance and Right of Access; Risk Management, Fraud Prevention and Safeguards</w:t>
            </w:r>
          </w:p>
        </w:tc>
      </w:tr>
      <w:tr w:rsidR="0037504C" w14:paraId="53EA1FE8" w14:textId="77777777">
        <w:trPr>
          <w:jc w:val="center"/>
        </w:trPr>
        <w:tc>
          <w:tcPr>
            <w:tcW w:w="4752" w:type="dxa"/>
            <w:shd w:val="clear" w:color="auto" w:fill="F3F7FB"/>
          </w:tcPr>
          <w:p w:rsidR="0037504C" w:rsidRDefault="00A25540" w14:paraId="61F08392" w14:textId="77777777">
            <w:r>
              <w:t>Part VI – FINAL PROVISIONS</w:t>
            </w:r>
          </w:p>
        </w:tc>
        <w:tc>
          <w:tcPr>
            <w:tcW w:w="4752" w:type="dxa"/>
            <w:shd w:val="clear" w:color="auto" w:fill="FFFFFF"/>
          </w:tcPr>
          <w:p w:rsidR="0037504C" w:rsidRDefault="00A25540" w14:paraId="62F45EEA" w14:textId="77777777">
            <w:r>
              <w:t>Review and Amendment; Entry into Effect</w:t>
            </w:r>
          </w:p>
        </w:tc>
      </w:tr>
      <w:tr w:rsidR="00857D9D" w14:paraId="6A063604" w14:textId="77777777">
        <w:trPr>
          <w:jc w:val="center"/>
        </w:trPr>
        <w:tc>
          <w:tcPr>
            <w:tcW w:w="4752" w:type="dxa"/>
            <w:shd w:val="clear" w:color="auto" w:fill="F3F7FB"/>
          </w:tcPr>
          <w:p w:rsidR="00857D9D" w:rsidRDefault="00F93BA2" w14:paraId="56FE2F5B" w14:textId="0507E78C">
            <w:r>
              <w:t>DEFINITIONS</w:t>
            </w:r>
          </w:p>
        </w:tc>
        <w:tc>
          <w:tcPr>
            <w:tcW w:w="4752" w:type="dxa"/>
            <w:shd w:val="clear" w:color="auto" w:fill="FFFFFF"/>
          </w:tcPr>
          <w:p w:rsidR="00857D9D" w:rsidRDefault="00857D9D" w14:paraId="706B937E" w14:textId="12EA652F">
            <w:r>
              <w:t>A list of defined terms used in the Charter</w:t>
            </w:r>
          </w:p>
        </w:tc>
      </w:tr>
    </w:tbl>
    <w:p w:rsidR="000A7C59" w:rsidP="000A7C59" w:rsidRDefault="000A7C59" w14:paraId="3494B8CE" w14:textId="77777777">
      <w:pPr>
        <w:pStyle w:val="WRPPart"/>
        <w:pBdr>
          <w:bottom w:val="single" w:color="B7C4D6" w:sz="6" w:space="1"/>
        </w:pBdr>
        <w:spacing w:before="0" w:after="0" w:line="240" w:lineRule="auto"/>
      </w:pPr>
    </w:p>
    <w:p w:rsidR="0037504C" w:rsidP="000A7C59" w:rsidRDefault="00A25540" w14:paraId="57D6EC82" w14:textId="31A225E6">
      <w:pPr>
        <w:pStyle w:val="WRPPart"/>
        <w:pBdr>
          <w:bottom w:val="single" w:color="B7C4D6" w:sz="6" w:space="1"/>
        </w:pBdr>
        <w:spacing w:before="0" w:after="0" w:line="240" w:lineRule="auto"/>
      </w:pPr>
      <w:r>
        <w:t>PART I – FOUNDATIONS</w:t>
      </w:r>
    </w:p>
    <w:p w:rsidR="000A7C59" w:rsidP="000A7C59" w:rsidRDefault="000A7C59" w14:paraId="514BCD2B" w14:textId="77777777">
      <w:pPr>
        <w:pStyle w:val="WRPArticle"/>
        <w:spacing w:before="0" w:after="0" w:line="240" w:lineRule="auto"/>
      </w:pPr>
    </w:p>
    <w:p w:rsidR="0037504C" w:rsidP="000A7C59" w:rsidRDefault="00A25540" w14:paraId="6B3C2046" w14:textId="48827EEB">
      <w:pPr>
        <w:pStyle w:val="WRPArticle"/>
        <w:spacing w:before="0" w:after="0" w:line="240" w:lineRule="auto"/>
      </w:pPr>
      <w:r>
        <w:t>Article 1 – Preamble</w:t>
      </w:r>
    </w:p>
    <w:p w:rsidR="000A7C59" w:rsidP="000A7C59" w:rsidRDefault="000A7C59" w14:paraId="0EB1F6ED" w14:textId="77777777">
      <w:pPr>
        <w:spacing w:after="0" w:line="240" w:lineRule="auto"/>
        <w:jc w:val="both"/>
      </w:pPr>
    </w:p>
    <w:p w:rsidR="0037504C" w:rsidP="000A7C59" w:rsidRDefault="00A25540" w14:paraId="7CAF1097" w14:textId="79678304">
      <w:pPr>
        <w:spacing w:after="0" w:line="240" w:lineRule="auto"/>
        <w:jc w:val="both"/>
      </w:pPr>
      <w:r>
        <w:t xml:space="preserve">Recognising the increasing risks posed by climate variability, extreme weather, hydrological and ocean hazards to Pacific Island Countries and Territories, and recalling the endorsement of the Weather Ready Pacific Decadal Programme of Investment by Pacific Leaders in 2021, as updated and amended from time to time, this Charter </w:t>
      </w:r>
      <w:r w:rsidR="00DD7BB9">
        <w:t>reaffirms the</w:t>
      </w:r>
      <w:r>
        <w:t xml:space="preserve"> unified</w:t>
      </w:r>
      <w:r w:rsidR="00624DB2">
        <w:t xml:space="preserve"> </w:t>
      </w:r>
      <w:r>
        <w:t>regional governance and funding framework for WRP under the Secretariat of the Pacific Regional Environment Programme.</w:t>
      </w:r>
    </w:p>
    <w:p w:rsidR="000A7C59" w:rsidP="000A7C59" w:rsidRDefault="000A7C59" w14:paraId="1C650057" w14:textId="77777777">
      <w:pPr>
        <w:spacing w:after="0" w:line="240" w:lineRule="auto"/>
        <w:jc w:val="both"/>
      </w:pPr>
    </w:p>
    <w:p w:rsidR="0037504C" w:rsidP="000A7C59" w:rsidRDefault="00A25540" w14:paraId="631C7819" w14:textId="19E728BC">
      <w:pPr>
        <w:spacing w:after="0" w:line="240" w:lineRule="auto"/>
        <w:jc w:val="both"/>
      </w:pPr>
      <w:r>
        <w:t>The Charter affirms Pacific leadership, regional cooperation and alignment with global initiatives including the United Nations Early Warnings for All initiative. WRP reflects Pacific priorities and shall be implemented in a manner that respects national sovereignty, regional collaboration and the diversity of Pacific contexts.</w:t>
      </w:r>
    </w:p>
    <w:p w:rsidR="007A09C8" w:rsidP="000A7C59" w:rsidRDefault="007A09C8" w14:paraId="4B03E1B1" w14:textId="77777777">
      <w:pPr>
        <w:spacing w:after="0" w:line="240" w:lineRule="auto"/>
        <w:jc w:val="both"/>
      </w:pPr>
    </w:p>
    <w:p w:rsidR="007A09C8" w:rsidP="000A7C59" w:rsidRDefault="007A09C8" w14:paraId="7449EE6B" w14:textId="492DD9A7">
      <w:pPr>
        <w:spacing w:after="0" w:line="240" w:lineRule="auto"/>
        <w:jc w:val="both"/>
      </w:pPr>
      <w:r w:rsidR="707EAE0F">
        <w:rPr/>
        <w:t xml:space="preserve">The WRP </w:t>
      </w:r>
      <w:r w:rsidR="12255EBC">
        <w:rPr/>
        <w:t xml:space="preserve">will </w:t>
      </w:r>
      <w:r w:rsidR="707EAE0F">
        <w:rPr/>
        <w:t>provid</w:t>
      </w:r>
      <w:r w:rsidR="7390FA1E">
        <w:rPr/>
        <w:t>e</w:t>
      </w:r>
      <w:r w:rsidR="3154597C">
        <w:rPr/>
        <w:t xml:space="preserve"> support to</w:t>
      </w:r>
      <w:r w:rsidR="5CF82632">
        <w:rPr/>
        <w:t>:</w:t>
      </w:r>
    </w:p>
    <w:p w:rsidR="00E67122" w:rsidP="000A7C59" w:rsidRDefault="00E67122" w14:paraId="72F66AA5" w14:textId="77777777">
      <w:pPr>
        <w:spacing w:after="0" w:line="240" w:lineRule="auto"/>
        <w:jc w:val="both"/>
      </w:pPr>
    </w:p>
    <w:p w:rsidR="00322DF8" w:rsidP="02D998F6" w:rsidRDefault="00E67122" w14:paraId="24201703" w14:textId="0B91E6F5">
      <w:pPr>
        <w:pStyle w:val="Normal"/>
        <w:pBdr>
          <w:top w:val="single" w:color="8DB3E2" w:themeColor="text2" w:themeTint="66" w:sz="18" w:space="1"/>
          <w:left w:val="single" w:color="8DB3E2" w:themeColor="text2" w:themeTint="66" w:sz="18" w:space="4"/>
          <w:bottom w:val="single" w:color="8DB3E2" w:themeColor="text2" w:themeTint="66" w:sz="18" w:space="1"/>
          <w:right w:val="single" w:color="8DB3E2" w:themeColor="text2" w:themeTint="66" w:sz="18" w:space="4"/>
        </w:pBdr>
        <w:shd w:val="clear" w:color="auto" w:fill="C6D9F1" w:themeFill="text2" w:themeFillTint="33"/>
        <w:spacing w:after="0" w:line="240" w:lineRule="auto"/>
        <w:jc w:val="both"/>
      </w:pPr>
      <w:r w:rsidR="5CF82632">
        <w:rPr/>
        <w:t>Cook Islands</w:t>
      </w:r>
      <w:r w:rsidR="42CC17E9">
        <w:rPr/>
        <w:t xml:space="preserve"> | </w:t>
      </w:r>
      <w:r w:rsidR="5CF82632">
        <w:rPr/>
        <w:t>Federated States of Micronesia</w:t>
      </w:r>
      <w:r w:rsidR="42CC17E9">
        <w:rPr/>
        <w:t xml:space="preserve"> | </w:t>
      </w:r>
      <w:r w:rsidR="5CF82632">
        <w:rPr/>
        <w:t>Fiji</w:t>
      </w:r>
      <w:r w:rsidR="42CC17E9">
        <w:rPr/>
        <w:t xml:space="preserve"> |</w:t>
      </w:r>
      <w:r w:rsidR="2B6F59DD">
        <w:rPr/>
        <w:t xml:space="preserve"> </w:t>
      </w:r>
      <w:r w:rsidR="5CF82632">
        <w:rPr/>
        <w:t>Kiribati</w:t>
      </w:r>
      <w:r w:rsidR="2B6F59DD">
        <w:rPr/>
        <w:t xml:space="preserve"> | </w:t>
      </w:r>
      <w:r w:rsidR="5CF82632">
        <w:rPr/>
        <w:t>Marshall Islands</w:t>
      </w:r>
      <w:r w:rsidR="2B6F59DD">
        <w:rPr/>
        <w:t xml:space="preserve"> | </w:t>
      </w:r>
      <w:r w:rsidR="5CF82632">
        <w:rPr/>
        <w:t>Nauru</w:t>
      </w:r>
      <w:r w:rsidR="2B6F59DD">
        <w:rPr/>
        <w:t xml:space="preserve"> | </w:t>
      </w:r>
      <w:r w:rsidR="5CF82632">
        <w:rPr/>
        <w:t>Ni</w:t>
      </w:r>
      <w:r w:rsidR="7974AC37">
        <w:rPr/>
        <w:t>ue</w:t>
      </w:r>
      <w:r w:rsidR="2B6F59DD">
        <w:rPr/>
        <w:t xml:space="preserve"> | |</w:t>
      </w:r>
      <w:r w:rsidR="7974AC37">
        <w:rPr/>
        <w:t>Palau</w:t>
      </w:r>
      <w:r w:rsidR="2B6F59DD">
        <w:rPr/>
        <w:t xml:space="preserve"> | </w:t>
      </w:r>
      <w:r w:rsidR="7974AC37">
        <w:rPr/>
        <w:t>Papua New Guinea</w:t>
      </w:r>
      <w:r w:rsidR="2B6F59DD">
        <w:rPr/>
        <w:t xml:space="preserve"> | </w:t>
      </w:r>
      <w:r w:rsidR="7974AC37">
        <w:rPr/>
        <w:t>Samoa</w:t>
      </w:r>
      <w:r w:rsidR="2B6F59DD">
        <w:rPr/>
        <w:t xml:space="preserve"> | </w:t>
      </w:r>
      <w:r w:rsidR="7974AC37">
        <w:rPr/>
        <w:t>Solomon Islands</w:t>
      </w:r>
      <w:r w:rsidR="2B6F59DD">
        <w:rPr/>
        <w:t xml:space="preserve"> | </w:t>
      </w:r>
      <w:r w:rsidR="7974AC37">
        <w:rPr/>
        <w:t>Tokelau</w:t>
      </w:r>
      <w:r w:rsidR="2B6F59DD">
        <w:rPr/>
        <w:t xml:space="preserve"> | </w:t>
      </w:r>
      <w:r w:rsidR="7974AC37">
        <w:rPr/>
        <w:t>Tonga</w:t>
      </w:r>
      <w:r w:rsidR="2B6F59DD">
        <w:rPr/>
        <w:t xml:space="preserve"> | </w:t>
      </w:r>
      <w:r w:rsidR="7974AC37">
        <w:rPr/>
        <w:t>Tuvalu</w:t>
      </w:r>
      <w:r w:rsidR="2B6F59DD">
        <w:rPr/>
        <w:t xml:space="preserve"> | </w:t>
      </w:r>
      <w:r w:rsidR="7974AC37">
        <w:rPr/>
        <w:t>Vanuatu</w:t>
      </w:r>
      <w:r w:rsidR="352F6674">
        <w:rPr/>
        <w:t xml:space="preserve"> |</w:t>
      </w:r>
      <w:r w:rsidR="0D923F6C">
        <w:rPr/>
        <w:t xml:space="preserve"> American Samoa| French Polynesia | Guam | New Caledonia |</w:t>
      </w:r>
      <w:r w:rsidR="0D193E66">
        <w:rPr/>
        <w:t xml:space="preserve"> </w:t>
      </w:r>
      <w:r w:rsidR="0D923F6C">
        <w:rPr/>
        <w:t>Northern Mariana Islands | Wallis and Futuna</w:t>
      </w:r>
    </w:p>
    <w:p w:rsidR="00322DF8" w:rsidP="02D998F6" w:rsidRDefault="00E67122" w14:paraId="196F374A" w14:textId="1FFC3258">
      <w:pPr>
        <w:pBdr>
          <w:top w:val="single" w:color="8DB3E2" w:themeColor="text2" w:themeTint="66" w:sz="18" w:space="1"/>
          <w:left w:val="single" w:color="8DB3E2" w:themeColor="text2" w:themeTint="66" w:sz="18" w:space="4"/>
          <w:bottom w:val="single" w:color="8DB3E2" w:themeColor="text2" w:themeTint="66" w:sz="18" w:space="1"/>
          <w:right w:val="single" w:color="8DB3E2" w:themeColor="text2" w:themeTint="66" w:sz="18" w:space="4"/>
        </w:pBdr>
        <w:shd w:val="clear" w:color="auto" w:fill="C6D9F1" w:themeFill="text2" w:themeFillTint="33"/>
        <w:spacing w:after="0" w:line="240" w:lineRule="auto"/>
        <w:jc w:val="both"/>
      </w:pPr>
    </w:p>
    <w:p w:rsidR="000A7C59" w:rsidP="000A7C59" w:rsidRDefault="000A7C59" w14:paraId="254857D3" w14:textId="77777777">
      <w:pPr>
        <w:pStyle w:val="WRPArticle"/>
        <w:spacing w:before="0" w:after="0" w:line="240" w:lineRule="auto"/>
        <w:jc w:val="both"/>
      </w:pPr>
    </w:p>
    <w:p w:rsidR="00A961E0" w:rsidP="000A7C59" w:rsidRDefault="00A961E0" w14:paraId="7D7C54BE" w14:textId="77777777">
      <w:pPr>
        <w:pStyle w:val="WRPArticle"/>
        <w:spacing w:before="0" w:after="0" w:line="240" w:lineRule="auto"/>
        <w:jc w:val="both"/>
      </w:pPr>
    </w:p>
    <w:p w:rsidR="0037504C" w:rsidP="000A7C59" w:rsidRDefault="00A25540" w14:paraId="5638520A" w14:textId="04098D3F">
      <w:pPr>
        <w:pStyle w:val="WRPArticle"/>
        <w:spacing w:before="0" w:after="0" w:line="240" w:lineRule="auto"/>
        <w:jc w:val="both"/>
      </w:pPr>
      <w:r>
        <w:t>Article 2 – Purpose and Legal Status</w:t>
      </w:r>
    </w:p>
    <w:p w:rsidR="000A7C59" w:rsidP="000A7C59" w:rsidRDefault="000A7C59" w14:paraId="2778647A" w14:textId="77777777">
      <w:pPr>
        <w:spacing w:after="0" w:line="240" w:lineRule="auto"/>
        <w:jc w:val="both"/>
      </w:pPr>
    </w:p>
    <w:p w:rsidR="00105060" w:rsidP="000A7C59" w:rsidRDefault="000D442D" w14:paraId="25068202" w14:textId="3554F8C8">
      <w:pPr>
        <w:spacing w:after="0" w:line="240" w:lineRule="auto"/>
        <w:jc w:val="both"/>
      </w:pPr>
      <w:r w:rsidRPr="000D442D">
        <w:t>WRP operates under SPREP authority and within the institutional framework of the Pacific Meteorological Council.</w:t>
      </w:r>
      <w:r>
        <w:t xml:space="preserve"> </w:t>
      </w:r>
      <w:r w:rsidR="00A25540">
        <w:t xml:space="preserve">This Charter </w:t>
      </w:r>
      <w:r w:rsidR="00DD7BB9">
        <w:t>reaffirms</w:t>
      </w:r>
      <w:r w:rsidRPr="00463934" w:rsidR="00DD7BB9">
        <w:t xml:space="preserve"> </w:t>
      </w:r>
      <w:r w:rsidR="00B75EE9">
        <w:t xml:space="preserve">the constitutional </w:t>
      </w:r>
      <w:r w:rsidRPr="00463934" w:rsidR="00463934">
        <w:t>governance</w:t>
      </w:r>
      <w:r w:rsidR="00463EE2">
        <w:t xml:space="preserve">, funding and accountability </w:t>
      </w:r>
      <w:r w:rsidRPr="00463934" w:rsidR="00463934">
        <w:t xml:space="preserve">framework </w:t>
      </w:r>
      <w:r>
        <w:t xml:space="preserve">for WRP </w:t>
      </w:r>
      <w:r w:rsidRPr="00463934" w:rsidR="00463934">
        <w:t>that supports strong accountability</w:t>
      </w:r>
      <w:r w:rsidR="00A133F1">
        <w:t>, e</w:t>
      </w:r>
      <w:r w:rsidRPr="00463934" w:rsidR="00463934">
        <w:t>quitable regional access</w:t>
      </w:r>
      <w:r w:rsidR="009E357E">
        <w:t>, Pacific ownership</w:t>
      </w:r>
      <w:r w:rsidR="00C24CE2">
        <w:t xml:space="preserve"> and regional coherence and coordination</w:t>
      </w:r>
      <w:r w:rsidRPr="001B797C" w:rsidR="001B797C">
        <w:t>.</w:t>
      </w:r>
    </w:p>
    <w:p w:rsidR="000A7C59" w:rsidP="000A7C59" w:rsidRDefault="000A7C59" w14:paraId="0F363B2A" w14:textId="77777777">
      <w:pPr>
        <w:spacing w:after="0" w:line="240" w:lineRule="auto"/>
        <w:jc w:val="both"/>
      </w:pPr>
    </w:p>
    <w:p w:rsidR="00652F56" w:rsidP="000A7C59" w:rsidRDefault="00652F56" w14:paraId="2BF8DC04" w14:textId="62040B20">
      <w:pPr>
        <w:spacing w:after="0" w:line="240" w:lineRule="auto"/>
        <w:jc w:val="both"/>
      </w:pPr>
      <w:r w:rsidRPr="00652F56">
        <w:t>This Charter is intended to set high-level rules for SPREP, WRP governance bodies</w:t>
      </w:r>
      <w:r w:rsidR="00E746BC">
        <w:t>,</w:t>
      </w:r>
      <w:r w:rsidRPr="00652F56">
        <w:t xml:space="preserve"> and </w:t>
      </w:r>
      <w:r w:rsidR="007E3956">
        <w:t>WRP D</w:t>
      </w:r>
      <w:r w:rsidR="004C1013">
        <w:t>onor</w:t>
      </w:r>
      <w:r w:rsidRPr="00652F56">
        <w:t xml:space="preserve">s when undertaking WRP activities. It is not intended to be legally binding on its own, but each </w:t>
      </w:r>
      <w:r w:rsidR="007E3956">
        <w:t>WR</w:t>
      </w:r>
      <w:r w:rsidR="00A76D12">
        <w:t>P</w:t>
      </w:r>
      <w:r w:rsidR="007E3956">
        <w:t xml:space="preserve"> D</w:t>
      </w:r>
      <w:r w:rsidR="004C1013">
        <w:t>onor</w:t>
      </w:r>
      <w:r w:rsidRPr="00652F56">
        <w:t xml:space="preserve"> shall acknowledge and agree in its funding </w:t>
      </w:r>
      <w:r w:rsidR="007E3956">
        <w:t>instrument</w:t>
      </w:r>
      <w:r w:rsidRPr="00652F56" w:rsidR="007E3956">
        <w:t xml:space="preserve"> </w:t>
      </w:r>
      <w:r w:rsidR="00857359">
        <w:t xml:space="preserve">(or equivalent) </w:t>
      </w:r>
      <w:r w:rsidR="009439C3">
        <w:t xml:space="preserve">for WRP </w:t>
      </w:r>
      <w:r w:rsidRPr="00652F56">
        <w:t>that its participation in WRP shall be governed by th</w:t>
      </w:r>
      <w:r w:rsidR="008C4F4D">
        <w:t>is</w:t>
      </w:r>
      <w:r w:rsidRPr="00652F56">
        <w:t xml:space="preserve"> Charter, as amended from time to time</w:t>
      </w:r>
      <w:r w:rsidR="00550042">
        <w:t xml:space="preserve"> by the </w:t>
      </w:r>
      <w:r w:rsidR="001E19F6">
        <w:t xml:space="preserve">prior </w:t>
      </w:r>
      <w:r w:rsidR="00550042">
        <w:t>written approval of the Steering Committee</w:t>
      </w:r>
      <w:r w:rsidRPr="00652F56">
        <w:t>.</w:t>
      </w:r>
      <w:r w:rsidR="00CE431D">
        <w:t xml:space="preserve"> </w:t>
      </w:r>
    </w:p>
    <w:p w:rsidR="008D1626" w:rsidP="000A7C59" w:rsidRDefault="008D1626" w14:paraId="3A377D56" w14:textId="77777777">
      <w:pPr>
        <w:spacing w:after="0" w:line="240" w:lineRule="auto"/>
        <w:jc w:val="both"/>
      </w:pPr>
    </w:p>
    <w:p w:rsidR="0037504C" w:rsidP="000A7C59" w:rsidRDefault="00A25540" w14:paraId="05B805D9" w14:textId="082CFE03">
      <w:pPr>
        <w:spacing w:after="0" w:line="240" w:lineRule="auto"/>
        <w:jc w:val="both"/>
      </w:pPr>
      <w:r>
        <w:t xml:space="preserve">This Charter complements </w:t>
      </w:r>
      <w:r w:rsidR="006B656A">
        <w:t>all applicable</w:t>
      </w:r>
      <w:r>
        <w:t xml:space="preserve"> SPREP </w:t>
      </w:r>
      <w:r w:rsidR="006879DC">
        <w:t>P</w:t>
      </w:r>
      <w:r w:rsidR="006B656A">
        <w:t>olicies</w:t>
      </w:r>
      <w:r w:rsidR="006F4141">
        <w:t xml:space="preserve"> and</w:t>
      </w:r>
      <w:r>
        <w:t xml:space="preserve"> the Implementation Plan</w:t>
      </w:r>
      <w:r w:rsidR="006F4141">
        <w:t>, e</w:t>
      </w:r>
      <w:r>
        <w:t>ach as amended from time to time.</w:t>
      </w:r>
      <w:r w:rsidRPr="006F4141" w:rsidR="006F4141">
        <w:t xml:space="preserve"> It sits above the Operations Manual, </w:t>
      </w:r>
      <w:r w:rsidR="006F4141">
        <w:t xml:space="preserve">which </w:t>
      </w:r>
      <w:r w:rsidR="0086579C">
        <w:t xml:space="preserve">gives operational effect to this Charter and sets out the detailed procedures, controls, templates and approval pathways for the implementation of </w:t>
      </w:r>
      <w:r w:rsidRPr="006F4141" w:rsidR="006F4141">
        <w:t>WRP.</w:t>
      </w:r>
      <w:r w:rsidR="004D1390">
        <w:t xml:space="preserve"> </w:t>
      </w:r>
    </w:p>
    <w:p w:rsidR="000A7C59" w:rsidP="000A7C59" w:rsidRDefault="000A7C59" w14:paraId="4595980F" w14:textId="77777777">
      <w:pPr>
        <w:spacing w:after="0" w:line="240" w:lineRule="auto"/>
        <w:jc w:val="both"/>
      </w:pPr>
    </w:p>
    <w:p w:rsidR="0037504C" w:rsidP="000A7C59" w:rsidRDefault="00A25540" w14:paraId="20461437" w14:textId="16F75D5B">
      <w:pPr>
        <w:pStyle w:val="WRPArticle"/>
        <w:spacing w:before="0" w:after="0" w:line="240" w:lineRule="auto"/>
        <w:jc w:val="both"/>
      </w:pPr>
      <w:r>
        <w:t>Article 3 – Objective</w:t>
      </w:r>
      <w:r w:rsidR="006C5BCD">
        <w:t>s</w:t>
      </w:r>
    </w:p>
    <w:p w:rsidR="000A7C59" w:rsidP="000A7C59" w:rsidRDefault="000A7C59" w14:paraId="0B8012B2" w14:textId="77777777">
      <w:pPr>
        <w:spacing w:after="0" w:line="240" w:lineRule="auto"/>
        <w:jc w:val="both"/>
      </w:pPr>
    </w:p>
    <w:p w:rsidR="0037504C" w:rsidP="000A7C59" w:rsidRDefault="00A25540" w14:paraId="3B82336F" w14:textId="297EE73E">
      <w:pPr>
        <w:spacing w:after="0" w:line="240" w:lineRule="auto"/>
        <w:jc w:val="both"/>
      </w:pPr>
      <w:r>
        <w:t xml:space="preserve">The overall objective of WRP, as set out in the Implementation Plan, is that </w:t>
      </w:r>
      <w:r w:rsidR="00F0368E">
        <w:t xml:space="preserve">climate and disaster resilient </w:t>
      </w:r>
      <w:r>
        <w:t xml:space="preserve">Pacific </w:t>
      </w:r>
      <w:r w:rsidR="00935A19">
        <w:t xml:space="preserve">Island </w:t>
      </w:r>
      <w:r>
        <w:t xml:space="preserve">communities </w:t>
      </w:r>
      <w:r w:rsidR="00935A19">
        <w:t xml:space="preserve">have </w:t>
      </w:r>
      <w:r>
        <w:t>improved safety, security</w:t>
      </w:r>
      <w:r w:rsidR="00935A19">
        <w:t>, socio-economic well-being and p</w:t>
      </w:r>
      <w:r>
        <w:t>rosperity</w:t>
      </w:r>
      <w:r w:rsidR="00686A8F">
        <w:t xml:space="preserve">. </w:t>
      </w:r>
    </w:p>
    <w:p w:rsidR="000A7C59" w:rsidP="000A7C59" w:rsidRDefault="000A7C59" w14:paraId="52A0A273" w14:textId="77777777">
      <w:pPr>
        <w:spacing w:after="0" w:line="240" w:lineRule="auto"/>
        <w:jc w:val="both"/>
      </w:pPr>
    </w:p>
    <w:p w:rsidR="005F3F80" w:rsidP="000A7C59" w:rsidRDefault="00776342" w14:paraId="05B530AF" w14:textId="4B59E485">
      <w:pPr>
        <w:spacing w:after="0" w:line="240" w:lineRule="auto"/>
        <w:jc w:val="both"/>
      </w:pPr>
      <w:r>
        <w:t xml:space="preserve">The specific objective of WRP is that Pacific communities, governments and industries have inclusive multi-hazard </w:t>
      </w:r>
      <w:r w:rsidR="00877F5F">
        <w:t xml:space="preserve">early warning systems, forecasts, and information to reduce the impact of extreme weather and other natural hazard events, including those exacerbated by climate change. </w:t>
      </w:r>
    </w:p>
    <w:p w:rsidR="009E4C73" w:rsidP="000A7C59" w:rsidRDefault="009E4C73" w14:paraId="225D25A7" w14:textId="77777777">
      <w:pPr>
        <w:spacing w:after="0" w:line="240" w:lineRule="auto"/>
        <w:jc w:val="both"/>
      </w:pPr>
    </w:p>
    <w:p w:rsidR="00934207" w:rsidP="000A7C59" w:rsidRDefault="00934207" w14:paraId="683B7E62" w14:textId="2ABB2EC2">
      <w:pPr>
        <w:spacing w:after="0" w:line="240" w:lineRule="auto"/>
        <w:jc w:val="both"/>
      </w:pPr>
      <w:r w:rsidRPr="00934207">
        <w:t xml:space="preserve">All WRP </w:t>
      </w:r>
      <w:r>
        <w:t>activities will be conducted</w:t>
      </w:r>
      <w:r w:rsidRPr="00934207">
        <w:t xml:space="preserve"> in accordance with the WRP </w:t>
      </w:r>
      <w:r w:rsidR="00997378">
        <w:t>g</w:t>
      </w:r>
      <w:r w:rsidRPr="00997378" w:rsidR="00997378">
        <w:t>ender equality</w:t>
      </w:r>
      <w:r w:rsidR="000A697A">
        <w:t>,</w:t>
      </w:r>
      <w:r w:rsidRPr="00997378" w:rsidR="00997378">
        <w:t xml:space="preserve"> disability and </w:t>
      </w:r>
      <w:r w:rsidR="00550042">
        <w:t xml:space="preserve">social </w:t>
      </w:r>
      <w:r w:rsidRPr="00997378" w:rsidR="00997378">
        <w:t>inclus</w:t>
      </w:r>
      <w:r w:rsidR="00550042">
        <w:t>ion</w:t>
      </w:r>
      <w:r w:rsidRPr="00997378" w:rsidR="00997378">
        <w:t xml:space="preserve"> </w:t>
      </w:r>
      <w:r w:rsidRPr="00934207">
        <w:t xml:space="preserve">Strategy, as amended from time to time. </w:t>
      </w:r>
    </w:p>
    <w:p w:rsidR="00934207" w:rsidP="000A7C59" w:rsidRDefault="00934207" w14:paraId="5363835B" w14:textId="77777777">
      <w:pPr>
        <w:spacing w:after="0" w:line="240" w:lineRule="auto"/>
        <w:jc w:val="both"/>
      </w:pPr>
    </w:p>
    <w:p w:rsidR="0037504C" w:rsidP="000A7C59" w:rsidRDefault="00934207" w14:paraId="0CFBFEAC" w14:textId="2BB30CB5">
      <w:pPr>
        <w:spacing w:after="0" w:line="240" w:lineRule="auto"/>
        <w:jc w:val="both"/>
      </w:pPr>
      <w:r>
        <w:t>I</w:t>
      </w:r>
      <w:r w:rsidR="00A25540">
        <w:t xml:space="preserve">t is intended that the benefits of WRP endure beyond the initial decadal </w:t>
      </w:r>
      <w:r w:rsidR="005F3F80">
        <w:t xml:space="preserve">programme of </w:t>
      </w:r>
      <w:r w:rsidR="00A25540">
        <w:t>investment</w:t>
      </w:r>
      <w:r w:rsidR="005F3F80">
        <w:t xml:space="preserve"> </w:t>
      </w:r>
      <w:r w:rsidR="00A25540">
        <w:t>through sustainable systems, institutions and partnerships.</w:t>
      </w:r>
    </w:p>
    <w:p w:rsidR="000A7C59" w:rsidP="000A7C59" w:rsidRDefault="000A7C59" w14:paraId="5E2E2C4B" w14:textId="77777777">
      <w:pPr>
        <w:pStyle w:val="WRPPart"/>
        <w:pBdr>
          <w:bottom w:val="single" w:color="B7C4D6" w:sz="6" w:space="1"/>
        </w:pBdr>
        <w:spacing w:before="0" w:after="0" w:line="240" w:lineRule="auto"/>
        <w:jc w:val="both"/>
      </w:pPr>
    </w:p>
    <w:p w:rsidR="0037504C" w:rsidP="000A7C59" w:rsidRDefault="00A25540" w14:paraId="3A65BBB1" w14:textId="51986381">
      <w:pPr>
        <w:pStyle w:val="WRPPart"/>
        <w:pBdr>
          <w:bottom w:val="single" w:color="B7C4D6" w:sz="6" w:space="1"/>
        </w:pBdr>
        <w:spacing w:before="0" w:after="0" w:line="240" w:lineRule="auto"/>
        <w:jc w:val="both"/>
      </w:pPr>
      <w:r>
        <w:t>PART II – PRINCIPLES</w:t>
      </w:r>
    </w:p>
    <w:p w:rsidR="000A7C59" w:rsidP="000A7C59" w:rsidRDefault="000A7C59" w14:paraId="67667194" w14:textId="77777777">
      <w:pPr>
        <w:pStyle w:val="WRPArticle"/>
        <w:spacing w:before="0" w:after="0" w:line="240" w:lineRule="auto"/>
        <w:jc w:val="both"/>
      </w:pPr>
    </w:p>
    <w:p w:rsidR="0037504C" w:rsidP="000A7C59" w:rsidRDefault="00A25540" w14:paraId="6BDE3969" w14:textId="2C6630AF">
      <w:pPr>
        <w:pStyle w:val="WRPArticle"/>
        <w:spacing w:before="0" w:after="0" w:line="240" w:lineRule="auto"/>
        <w:jc w:val="both"/>
      </w:pPr>
      <w:r>
        <w:t>Article 4 – WRP Principles</w:t>
      </w:r>
    </w:p>
    <w:p w:rsidR="00360D07" w:rsidP="000A7C59" w:rsidRDefault="00360D07" w14:paraId="1356562F" w14:textId="77777777">
      <w:pPr>
        <w:pStyle w:val="WRPArticle"/>
        <w:spacing w:before="0" w:after="0" w:line="240" w:lineRule="auto"/>
        <w:jc w:val="both"/>
      </w:pPr>
    </w:p>
    <w:p w:rsidR="00360D07" w:rsidP="00360D07" w:rsidRDefault="00360D07" w14:paraId="366649F1" w14:textId="77777777">
      <w:pPr>
        <w:pBdr>
          <w:top w:val="single" w:color="8DB3E2" w:themeColor="text2" w:themeTint="66" w:sz="18" w:space="1"/>
          <w:left w:val="single" w:color="8DB3E2" w:themeColor="text2" w:themeTint="66" w:sz="18" w:space="4"/>
          <w:bottom w:val="single" w:color="8DB3E2" w:themeColor="text2" w:themeTint="66" w:sz="18" w:space="1"/>
          <w:right w:val="single" w:color="8DB3E2" w:themeColor="text2" w:themeTint="66" w:sz="18" w:space="4"/>
        </w:pBdr>
        <w:shd w:val="clear" w:color="auto" w:fill="C6D9F1" w:themeFill="text2" w:themeFillTint="33"/>
        <w:spacing w:after="0" w:line="240" w:lineRule="auto"/>
        <w:jc w:val="center"/>
      </w:pPr>
      <w:r w:rsidRPr="00360D07">
        <w:rPr>
          <w:b/>
          <w:bCs/>
          <w:i/>
          <w:iCs/>
        </w:rPr>
        <w:t>P</w:t>
      </w:r>
      <w:r w:rsidRPr="00360D07" w:rsidR="00A25540">
        <w:rPr>
          <w:b/>
          <w:bCs/>
          <w:i/>
          <w:iCs/>
        </w:rPr>
        <w:t>acific led and owned</w:t>
      </w:r>
    </w:p>
    <w:p w:rsidR="0037504C" w:rsidP="00360D07" w:rsidRDefault="00BF7F2D" w14:paraId="474D4F41" w14:textId="3C761970">
      <w:pPr>
        <w:pBdr>
          <w:top w:val="single" w:color="8DB3E2" w:themeColor="text2" w:themeTint="66" w:sz="18" w:space="1"/>
          <w:left w:val="single" w:color="8DB3E2" w:themeColor="text2" w:themeTint="66" w:sz="18" w:space="4"/>
          <w:bottom w:val="single" w:color="8DB3E2" w:themeColor="text2" w:themeTint="66" w:sz="18" w:space="1"/>
          <w:right w:val="single" w:color="8DB3E2" w:themeColor="text2" w:themeTint="66" w:sz="18" w:space="4"/>
        </w:pBdr>
        <w:shd w:val="clear" w:color="auto" w:fill="C6D9F1" w:themeFill="text2" w:themeFillTint="33"/>
        <w:spacing w:after="0" w:line="240" w:lineRule="auto"/>
        <w:jc w:val="center"/>
      </w:pPr>
      <w:r>
        <w:t>Driven by Pacific peoples; responsive to local needs, cultural contexts</w:t>
      </w:r>
      <w:r w:rsidR="007B41B1">
        <w:t>;</w:t>
      </w:r>
      <w:r w:rsidR="00AD49B3">
        <w:t xml:space="preserve"> integrating traditional knowledge; harmonized (local, national, regional, global)</w:t>
      </w:r>
      <w:r w:rsidR="00E420EA">
        <w:t>.</w:t>
      </w:r>
    </w:p>
    <w:p w:rsidR="00360D07" w:rsidP="00360D07" w:rsidRDefault="00887120" w14:paraId="767CEB94" w14:textId="77777777">
      <w:pPr>
        <w:pBdr>
          <w:top w:val="single" w:color="8DB3E2" w:themeColor="text2" w:themeTint="66" w:sz="18" w:space="1"/>
          <w:left w:val="single" w:color="8DB3E2" w:themeColor="text2" w:themeTint="66" w:sz="18" w:space="4"/>
          <w:bottom w:val="single" w:color="8DB3E2" w:themeColor="text2" w:themeTint="66" w:sz="18" w:space="1"/>
          <w:right w:val="single" w:color="8DB3E2" w:themeColor="text2" w:themeTint="66" w:sz="18" w:space="4"/>
        </w:pBdr>
        <w:shd w:val="clear" w:color="auto" w:fill="C6D9F1" w:themeFill="text2" w:themeFillTint="33"/>
        <w:spacing w:after="0" w:line="240" w:lineRule="auto"/>
        <w:jc w:val="center"/>
      </w:pPr>
      <w:r w:rsidRPr="00360D07">
        <w:rPr>
          <w:b/>
          <w:bCs/>
          <w:i/>
          <w:iCs/>
        </w:rPr>
        <w:t>Inclusive, equitable and empowering</w:t>
      </w:r>
    </w:p>
    <w:p w:rsidR="0037504C" w:rsidP="00360D07" w:rsidRDefault="00887120" w14:paraId="07B71B38" w14:textId="49D0BDF7">
      <w:pPr>
        <w:pBdr>
          <w:top w:val="single" w:color="8DB3E2" w:themeColor="text2" w:themeTint="66" w:sz="18" w:space="1"/>
          <w:left w:val="single" w:color="8DB3E2" w:themeColor="text2" w:themeTint="66" w:sz="18" w:space="4"/>
          <w:bottom w:val="single" w:color="8DB3E2" w:themeColor="text2" w:themeTint="66" w:sz="18" w:space="1"/>
          <w:right w:val="single" w:color="8DB3E2" w:themeColor="text2" w:themeTint="66" w:sz="18" w:space="4"/>
        </w:pBdr>
        <w:shd w:val="clear" w:color="auto" w:fill="C6D9F1" w:themeFill="text2" w:themeFillTint="33"/>
        <w:spacing w:after="0" w:line="240" w:lineRule="auto"/>
        <w:jc w:val="center"/>
      </w:pPr>
      <w:r>
        <w:t xml:space="preserve">Rights-based; </w:t>
      </w:r>
      <w:r w:rsidR="00997378">
        <w:t>GEDSI</w:t>
      </w:r>
      <w:r w:rsidR="00E6093C">
        <w:t>-responsive; active; meaningful participation; precautionary</w:t>
      </w:r>
      <w:r w:rsidR="00E420EA">
        <w:t>.</w:t>
      </w:r>
    </w:p>
    <w:p w:rsidR="00360D07" w:rsidP="00360D07" w:rsidRDefault="00E420EA" w14:paraId="76A93649" w14:textId="77777777">
      <w:pPr>
        <w:pBdr>
          <w:top w:val="single" w:color="8DB3E2" w:themeColor="text2" w:themeTint="66" w:sz="18" w:space="1"/>
          <w:left w:val="single" w:color="8DB3E2" w:themeColor="text2" w:themeTint="66" w:sz="18" w:space="4"/>
          <w:bottom w:val="single" w:color="8DB3E2" w:themeColor="text2" w:themeTint="66" w:sz="18" w:space="1"/>
          <w:right w:val="single" w:color="8DB3E2" w:themeColor="text2" w:themeTint="66" w:sz="18" w:space="4"/>
        </w:pBdr>
        <w:shd w:val="clear" w:color="auto" w:fill="C6D9F1" w:themeFill="text2" w:themeFillTint="33"/>
        <w:spacing w:after="0" w:line="240" w:lineRule="auto"/>
        <w:jc w:val="center"/>
      </w:pPr>
      <w:r w:rsidRPr="00360D07">
        <w:rPr>
          <w:b/>
          <w:bCs/>
          <w:i/>
          <w:iCs/>
        </w:rPr>
        <w:t>Collaborative</w:t>
      </w:r>
    </w:p>
    <w:p w:rsidRPr="00360D07" w:rsidR="00E420EA" w:rsidP="00360D07" w:rsidRDefault="00E420EA" w14:paraId="6136565A" w14:textId="3EFFCEB1">
      <w:pPr>
        <w:pBdr>
          <w:top w:val="single" w:color="8DB3E2" w:themeColor="text2" w:themeTint="66" w:sz="18" w:space="1"/>
          <w:left w:val="single" w:color="8DB3E2" w:themeColor="text2" w:themeTint="66" w:sz="18" w:space="4"/>
          <w:bottom w:val="single" w:color="8DB3E2" w:themeColor="text2" w:themeTint="66" w:sz="18" w:space="1"/>
          <w:right w:val="single" w:color="8DB3E2" w:themeColor="text2" w:themeTint="66" w:sz="18" w:space="4"/>
        </w:pBdr>
        <w:shd w:val="clear" w:color="auto" w:fill="C6D9F1" w:themeFill="text2" w:themeFillTint="33"/>
        <w:spacing w:after="0" w:line="240" w:lineRule="auto"/>
        <w:jc w:val="center"/>
      </w:pPr>
      <w:r w:rsidRPr="00360D07">
        <w:t>Mutually accountable and transparent; coordinated; partnership-based.</w:t>
      </w:r>
    </w:p>
    <w:p w:rsidR="00360D07" w:rsidP="00360D07" w:rsidRDefault="00E420EA" w14:paraId="5903ACD3" w14:textId="77777777">
      <w:pPr>
        <w:pBdr>
          <w:top w:val="single" w:color="8DB3E2" w:themeColor="text2" w:themeTint="66" w:sz="18" w:space="1"/>
          <w:left w:val="single" w:color="8DB3E2" w:themeColor="text2" w:themeTint="66" w:sz="18" w:space="4"/>
          <w:bottom w:val="single" w:color="8DB3E2" w:themeColor="text2" w:themeTint="66" w:sz="18" w:space="1"/>
          <w:right w:val="single" w:color="8DB3E2" w:themeColor="text2" w:themeTint="66" w:sz="18" w:space="4"/>
        </w:pBdr>
        <w:shd w:val="clear" w:color="auto" w:fill="C6D9F1" w:themeFill="text2" w:themeFillTint="33"/>
        <w:spacing w:after="0" w:line="240" w:lineRule="auto"/>
        <w:jc w:val="center"/>
      </w:pPr>
      <w:r w:rsidRPr="00360D07">
        <w:rPr>
          <w:b/>
          <w:bCs/>
          <w:i/>
          <w:iCs/>
        </w:rPr>
        <w:t>Transformative and Sustained</w:t>
      </w:r>
    </w:p>
    <w:p w:rsidR="00E420EA" w:rsidP="00360D07" w:rsidRDefault="00E420EA" w14:paraId="179A65A3" w14:textId="300C0AB6">
      <w:pPr>
        <w:pBdr>
          <w:top w:val="single" w:color="8DB3E2" w:themeColor="text2" w:themeTint="66" w:sz="18" w:space="1"/>
          <w:left w:val="single" w:color="8DB3E2" w:themeColor="text2" w:themeTint="66" w:sz="18" w:space="4"/>
          <w:bottom w:val="single" w:color="8DB3E2" w:themeColor="text2" w:themeTint="66" w:sz="18" w:space="1"/>
          <w:right w:val="single" w:color="8DB3E2" w:themeColor="text2" w:themeTint="66" w:sz="18" w:space="4"/>
        </w:pBdr>
        <w:shd w:val="clear" w:color="auto" w:fill="C6D9F1" w:themeFill="text2" w:themeFillTint="33"/>
        <w:spacing w:after="0" w:line="240" w:lineRule="auto"/>
        <w:jc w:val="center"/>
      </w:pPr>
      <w:r w:rsidRPr="00360D07">
        <w:t>Visionary; structural and systemic; agile; enduring.</w:t>
      </w:r>
    </w:p>
    <w:p w:rsidR="00821731" w:rsidP="00821731" w:rsidRDefault="00821731" w14:paraId="3E0ABB7F" w14:textId="77777777">
      <w:pPr>
        <w:spacing w:after="0" w:line="240" w:lineRule="auto"/>
        <w:jc w:val="both"/>
      </w:pPr>
    </w:p>
    <w:p w:rsidR="00821731" w:rsidP="000A7C59" w:rsidRDefault="00CA5A6C" w14:paraId="50235F6C" w14:textId="432065C4">
      <w:pPr>
        <w:pStyle w:val="WRPArticle"/>
        <w:spacing w:before="0" w:after="0" w:line="240" w:lineRule="auto"/>
        <w:jc w:val="both"/>
        <w:rPr>
          <w:rFonts w:eastAsiaTheme="minorEastAsia" w:cstheme="minorBidi"/>
          <w:b w:val="0"/>
          <w:bCs w:val="0"/>
          <w:color w:val="auto"/>
          <w:sz w:val="21"/>
          <w:szCs w:val="22"/>
        </w:rPr>
      </w:pPr>
      <w:r w:rsidRPr="00CA5A6C">
        <w:rPr>
          <w:rFonts w:eastAsiaTheme="minorEastAsia" w:cstheme="minorBidi"/>
          <w:b w:val="0"/>
          <w:bCs w:val="0"/>
          <w:color w:val="auto"/>
          <w:sz w:val="21"/>
          <w:szCs w:val="22"/>
        </w:rPr>
        <w:lastRenderedPageBreak/>
        <w:t>WRP activities at national and sub-national level shall, where relevant, be designed and implemented through participatory engagement with affected communities, local institutions, civil society, customary actors, women’s groups, organisations of persons with disabilities, youth representatives and other relevant local stakeholders, in a manner appropriate to the country context and consistent with national systems and priorities.</w:t>
      </w:r>
    </w:p>
    <w:p w:rsidR="00CA5A6C" w:rsidP="000A7C59" w:rsidRDefault="00CA5A6C" w14:paraId="582C093F" w14:textId="77777777">
      <w:pPr>
        <w:pStyle w:val="WRPArticle"/>
        <w:spacing w:before="0" w:after="0" w:line="240" w:lineRule="auto"/>
        <w:jc w:val="both"/>
      </w:pPr>
    </w:p>
    <w:p w:rsidR="00E93E43" w:rsidP="000A7C59" w:rsidRDefault="00E93E43" w14:paraId="347D2A62" w14:textId="37F84740">
      <w:pPr>
        <w:pStyle w:val="WRPArticle"/>
        <w:spacing w:before="0" w:after="0" w:line="240" w:lineRule="auto"/>
        <w:jc w:val="both"/>
        <w:rPr>
          <w:rFonts w:eastAsiaTheme="minorEastAsia" w:cstheme="minorBidi"/>
          <w:b w:val="0"/>
          <w:bCs w:val="0"/>
          <w:color w:val="auto"/>
          <w:sz w:val="21"/>
          <w:szCs w:val="22"/>
        </w:rPr>
      </w:pPr>
      <w:r w:rsidRPr="00E93E43">
        <w:rPr>
          <w:rFonts w:eastAsiaTheme="minorEastAsia" w:cstheme="minorBidi"/>
          <w:b w:val="0"/>
          <w:bCs w:val="0"/>
          <w:color w:val="auto"/>
          <w:sz w:val="21"/>
          <w:szCs w:val="22"/>
        </w:rPr>
        <w:t>WRP shall pursue coordinated action across public, multilateral, bilateral, civil-society, academic and private-sector partners, building on existing national, regional and international initiatives wherever possible, in order to reduce duplication, optimise existing investments, mobilise technical and financial resources, and strengthen delivery capacity.</w:t>
      </w:r>
    </w:p>
    <w:p w:rsidRPr="00E93E43" w:rsidR="00E93E43" w:rsidP="000A7C59" w:rsidRDefault="00E93E43" w14:paraId="725A5D3E" w14:textId="77777777">
      <w:pPr>
        <w:pStyle w:val="WRPArticle"/>
        <w:spacing w:before="0" w:after="0" w:line="240" w:lineRule="auto"/>
        <w:jc w:val="both"/>
        <w:rPr>
          <w:rFonts w:eastAsiaTheme="minorEastAsia" w:cstheme="minorBidi"/>
          <w:b w:val="0"/>
          <w:bCs w:val="0"/>
          <w:color w:val="auto"/>
          <w:sz w:val="21"/>
          <w:szCs w:val="22"/>
        </w:rPr>
      </w:pPr>
    </w:p>
    <w:p w:rsidR="0037504C" w:rsidP="000A7C59" w:rsidRDefault="00A25540" w14:paraId="169BDD9B" w14:textId="29440C6A">
      <w:pPr>
        <w:pStyle w:val="WRPArticle"/>
        <w:spacing w:before="0" w:after="0" w:line="240" w:lineRule="auto"/>
        <w:jc w:val="both"/>
      </w:pPr>
      <w:r>
        <w:t>Article 5 – Financial and Fiduciary Principles</w:t>
      </w:r>
    </w:p>
    <w:p w:rsidR="000A7C59" w:rsidP="000A7C59" w:rsidRDefault="000A7C59" w14:paraId="606358D6" w14:textId="77777777">
      <w:pPr>
        <w:spacing w:after="0" w:line="240" w:lineRule="auto"/>
        <w:jc w:val="both"/>
      </w:pPr>
    </w:p>
    <w:p w:rsidR="004C6231" w:rsidP="000A7C59" w:rsidRDefault="00A25540" w14:paraId="1ED57058" w14:textId="28155B0D">
      <w:pPr>
        <w:spacing w:after="0" w:line="240" w:lineRule="auto"/>
        <w:jc w:val="both"/>
      </w:pPr>
      <w:r>
        <w:t>WRP shall</w:t>
      </w:r>
      <w:r w:rsidR="007F65E3">
        <w:t xml:space="preserve"> </w:t>
      </w:r>
      <w:r w:rsidR="00543999">
        <w:t xml:space="preserve">operate </w:t>
      </w:r>
      <w:r w:rsidR="004C6231">
        <w:t>in accordance with</w:t>
      </w:r>
      <w:r w:rsidR="00543999">
        <w:t xml:space="preserve"> </w:t>
      </w:r>
      <w:r w:rsidR="004C6231">
        <w:t xml:space="preserve">the following financial </w:t>
      </w:r>
      <w:r w:rsidR="007F65E3">
        <w:t xml:space="preserve">and fiduciary </w:t>
      </w:r>
      <w:r w:rsidR="004C6231">
        <w:t>principles:</w:t>
      </w:r>
    </w:p>
    <w:p w:rsidR="004C6231" w:rsidP="000A7C59" w:rsidRDefault="004C6231" w14:paraId="281144D5" w14:textId="77777777">
      <w:pPr>
        <w:spacing w:after="0" w:line="240" w:lineRule="auto"/>
        <w:jc w:val="both"/>
      </w:pPr>
    </w:p>
    <w:tbl>
      <w:tblPr>
        <w:tblStyle w:val="ListTable6ColourfulAccent1"/>
        <w:tblW w:w="0" w:type="auto"/>
        <w:tblLook w:val="04A0" w:firstRow="1" w:lastRow="0" w:firstColumn="1" w:lastColumn="0" w:noHBand="0" w:noVBand="1"/>
      </w:tblPr>
      <w:tblGrid>
        <w:gridCol w:w="9494"/>
      </w:tblGrid>
      <w:tr w:rsidRPr="00851700" w:rsidR="00851700" w:rsidTr="02D998F6" w14:paraId="7E0100D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4" w:type="dxa"/>
            <w:tcMar/>
          </w:tcPr>
          <w:p w:rsidRPr="00B52738" w:rsidR="00851700" w:rsidP="00B52738" w:rsidRDefault="00B52738" w14:paraId="2A9A56CF" w14:textId="7A7DC682">
            <w:pPr>
              <w:spacing w:after="0"/>
              <w:jc w:val="both"/>
            </w:pPr>
            <w:r>
              <w:t>U</w:t>
            </w:r>
            <w:r w:rsidRPr="00B52738" w:rsidR="00851700">
              <w:t>nified governance</w:t>
            </w:r>
            <w:r w:rsidR="00DA057D">
              <w:t>, financial and reporting arrangements</w:t>
            </w:r>
          </w:p>
        </w:tc>
      </w:tr>
      <w:tr w:rsidRPr="00851700" w:rsidR="00851700" w:rsidTr="02D998F6" w14:paraId="7C2F34F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4" w:type="dxa"/>
            <w:tcMar/>
          </w:tcPr>
          <w:p w:rsidRPr="00B52738" w:rsidR="00851700" w:rsidP="00B52738" w:rsidRDefault="00B52738" w14:paraId="078B0AEF" w14:textId="1EDF2F0E">
            <w:pPr>
              <w:spacing w:after="0"/>
              <w:jc w:val="both"/>
            </w:pPr>
            <w:r>
              <w:t>E</w:t>
            </w:r>
            <w:r w:rsidRPr="00B52738" w:rsidR="00851700">
              <w:t>quitable regional access to resources</w:t>
            </w:r>
            <w:r>
              <w:t>.</w:t>
            </w:r>
          </w:p>
        </w:tc>
      </w:tr>
      <w:tr w:rsidRPr="00851700" w:rsidR="00851700" w:rsidTr="02D998F6" w14:paraId="287C8B0D" w14:textId="77777777">
        <w:tc>
          <w:tcPr>
            <w:cnfStyle w:val="001000000000" w:firstRow="0" w:lastRow="0" w:firstColumn="1" w:lastColumn="0" w:oddVBand="0" w:evenVBand="0" w:oddHBand="0" w:evenHBand="0" w:firstRowFirstColumn="0" w:firstRowLastColumn="0" w:lastRowFirstColumn="0" w:lastRowLastColumn="0"/>
            <w:tcW w:w="9494" w:type="dxa"/>
            <w:tcMar/>
          </w:tcPr>
          <w:p w:rsidRPr="00B52738" w:rsidR="00851700" w:rsidP="00B52738" w:rsidRDefault="00B52738" w14:paraId="3A10904C" w14:textId="4E9B1269">
            <w:pPr>
              <w:spacing w:after="0"/>
              <w:jc w:val="both"/>
            </w:pPr>
            <w:r>
              <w:t>C</w:t>
            </w:r>
            <w:r w:rsidRPr="00B52738" w:rsidR="00851700">
              <w:t>oordinated funding approaches</w:t>
            </w:r>
            <w:r>
              <w:t>.</w:t>
            </w:r>
          </w:p>
        </w:tc>
      </w:tr>
      <w:tr w:rsidRPr="00851700" w:rsidR="00851700" w:rsidTr="02D998F6" w14:paraId="130D46A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4" w:type="dxa"/>
            <w:tcMar/>
          </w:tcPr>
          <w:p w:rsidRPr="00B52738" w:rsidR="00851700" w:rsidP="00B52738" w:rsidRDefault="00B52738" w14:paraId="4CEF4A96" w14:textId="172D558B">
            <w:pPr>
              <w:spacing w:after="0"/>
              <w:jc w:val="both"/>
            </w:pPr>
            <w:r>
              <w:t>R</w:t>
            </w:r>
            <w:r w:rsidRPr="00B52738" w:rsidR="00851700">
              <w:t>esponsible financial stewardship</w:t>
            </w:r>
            <w:r>
              <w:t>.</w:t>
            </w:r>
          </w:p>
        </w:tc>
      </w:tr>
      <w:tr w:rsidRPr="00851700" w:rsidR="00851700" w:rsidTr="02D998F6" w14:paraId="26B222C7" w14:textId="77777777">
        <w:tc>
          <w:tcPr>
            <w:cnfStyle w:val="001000000000" w:firstRow="0" w:lastRow="0" w:firstColumn="1" w:lastColumn="0" w:oddVBand="0" w:evenVBand="0" w:oddHBand="0" w:evenHBand="0" w:firstRowFirstColumn="0" w:firstRowLastColumn="0" w:lastRowFirstColumn="0" w:lastRowLastColumn="0"/>
            <w:tcW w:w="9494" w:type="dxa"/>
            <w:tcMar/>
          </w:tcPr>
          <w:p w:rsidRPr="00B52738" w:rsidR="00851700" w:rsidP="00B52738" w:rsidRDefault="00B52738" w14:paraId="7F5CD05B" w14:textId="4C44D3B5">
            <w:pPr>
              <w:spacing w:after="0"/>
              <w:jc w:val="both"/>
            </w:pPr>
            <w:r>
              <w:t>S</w:t>
            </w:r>
            <w:r w:rsidRPr="00B52738" w:rsidR="00851700">
              <w:t>egregation of duties and delegated authority in financial decision-making</w:t>
            </w:r>
            <w:r>
              <w:t>.</w:t>
            </w:r>
          </w:p>
        </w:tc>
      </w:tr>
      <w:tr w:rsidRPr="00851700" w:rsidR="00851700" w:rsidTr="02D998F6" w14:paraId="1114236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4" w:type="dxa"/>
            <w:tcMar/>
          </w:tcPr>
          <w:p w:rsidRPr="00B52738" w:rsidR="00B52738" w:rsidP="00B52738" w:rsidRDefault="00B52738" w14:paraId="1AECFF8A" w14:textId="4BEBC02F">
            <w:pPr>
              <w:spacing w:after="0"/>
              <w:jc w:val="both"/>
              <w:rPr>
                <w:b w:val="0"/>
                <w:bCs w:val="0"/>
              </w:rPr>
            </w:pPr>
            <w:r>
              <w:t>M</w:t>
            </w:r>
            <w:r w:rsidRPr="00B52738" w:rsidR="00851700">
              <w:t>anagement of pooled resources through clearly defined purposes, limits and approval arrangements</w:t>
            </w:r>
            <w:r>
              <w:rPr>
                <w:b w:val="0"/>
                <w:bCs w:val="0"/>
              </w:rPr>
              <w:t>.</w:t>
            </w:r>
          </w:p>
        </w:tc>
      </w:tr>
      <w:tr w:rsidRPr="00851700" w:rsidR="00851700" w:rsidTr="02D998F6" w14:paraId="0D63586D" w14:textId="77777777">
        <w:tc>
          <w:tcPr>
            <w:cnfStyle w:val="001000000000" w:firstRow="0" w:lastRow="0" w:firstColumn="1" w:lastColumn="0" w:oddVBand="0" w:evenVBand="0" w:oddHBand="0" w:evenHBand="0" w:firstRowFirstColumn="0" w:firstRowLastColumn="0" w:lastRowFirstColumn="0" w:lastRowLastColumn="0"/>
            <w:tcW w:w="9494" w:type="dxa"/>
            <w:tcMar/>
          </w:tcPr>
          <w:p w:rsidRPr="00B52738" w:rsidR="00851700" w:rsidP="00B52738" w:rsidRDefault="00B52738" w14:paraId="4C9F1131" w14:textId="35DD8551">
            <w:pPr>
              <w:spacing w:after="0"/>
              <w:jc w:val="both"/>
            </w:pPr>
            <w:r>
              <w:t>R</w:t>
            </w:r>
            <w:r w:rsidRPr="00B52738" w:rsidR="00851700">
              <w:t>isk-based selection of implementation modalities</w:t>
            </w:r>
            <w:r w:rsidR="005D4911">
              <w:t>.</w:t>
            </w:r>
          </w:p>
        </w:tc>
      </w:tr>
      <w:tr w:rsidRPr="00851700" w:rsidR="00A77CD1" w:rsidTr="02D998F6" w14:paraId="4473D6C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4" w:type="dxa"/>
            <w:tcMar/>
          </w:tcPr>
          <w:p w:rsidR="00A77CD1" w:rsidP="00A77CD1" w:rsidRDefault="009B6B42" w14:paraId="6AC28BA3" w14:textId="0A59AFDE">
            <w:pPr>
              <w:spacing w:after="0"/>
              <w:jc w:val="both"/>
            </w:pPr>
            <w:r w:rsidRPr="009B6B42">
              <w:t>Allocation and implementation decisions shall reflect implementation readiness, institutional capacity, fiduciary capability, operations-and-maintenance capacity, and likely absorptive capacity at regional, national, and local levels</w:t>
            </w:r>
          </w:p>
        </w:tc>
      </w:tr>
      <w:tr w:rsidRPr="00851700" w:rsidR="00851700" w:rsidTr="02D998F6" w14:paraId="45409AB7" w14:textId="77777777">
        <w:tc>
          <w:tcPr>
            <w:cnfStyle w:val="001000000000" w:firstRow="0" w:lastRow="0" w:firstColumn="1" w:lastColumn="0" w:oddVBand="0" w:evenVBand="0" w:oddHBand="0" w:evenHBand="0" w:firstRowFirstColumn="0" w:firstRowLastColumn="0" w:lastRowFirstColumn="0" w:lastRowLastColumn="0"/>
            <w:tcW w:w="9494" w:type="dxa"/>
            <w:tcMar/>
          </w:tcPr>
          <w:p w:rsidRPr="00B52738" w:rsidR="00B52738" w:rsidP="00B52738" w:rsidRDefault="00B52738" w14:paraId="3743F5FC" w14:textId="7B9D3C7B">
            <w:pPr>
              <w:spacing w:after="0"/>
              <w:jc w:val="both"/>
              <w:rPr>
                <w:b w:val="0"/>
                <w:bCs w:val="0"/>
              </w:rPr>
            </w:pPr>
            <w:r>
              <w:t>C</w:t>
            </w:r>
            <w:r w:rsidRPr="00B52738" w:rsidR="00851700">
              <w:t>ompliance with applicable SPREP internal control requirements</w:t>
            </w:r>
            <w:r>
              <w:rPr>
                <w:b w:val="0"/>
                <w:bCs w:val="0"/>
              </w:rPr>
              <w:t>.</w:t>
            </w:r>
          </w:p>
        </w:tc>
      </w:tr>
      <w:tr w:rsidRPr="00851700" w:rsidR="00851700" w:rsidTr="02D998F6" w14:paraId="69E2BAF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4" w:type="dxa"/>
            <w:tcMar/>
          </w:tcPr>
          <w:p w:rsidRPr="00B52738" w:rsidR="00851700" w:rsidP="00B52738" w:rsidRDefault="00B52738" w14:paraId="5A7C33F9" w14:textId="47B9D908">
            <w:pPr>
              <w:spacing w:after="0"/>
              <w:jc w:val="both"/>
            </w:pPr>
            <w:r>
              <w:t>T</w:t>
            </w:r>
            <w:r w:rsidRPr="00B52738" w:rsidR="00851700">
              <w:t>ransparency in the use of funds, including cost recovery and programme management fees</w:t>
            </w:r>
            <w:r>
              <w:t>.</w:t>
            </w:r>
          </w:p>
        </w:tc>
      </w:tr>
      <w:tr w:rsidRPr="00851700" w:rsidR="00851700" w:rsidTr="02D998F6" w14:paraId="2AE63971" w14:textId="77777777">
        <w:tc>
          <w:tcPr>
            <w:cnfStyle w:val="001000000000" w:firstRow="0" w:lastRow="0" w:firstColumn="1" w:lastColumn="0" w:oddVBand="0" w:evenVBand="0" w:oddHBand="0" w:evenHBand="0" w:firstRowFirstColumn="0" w:firstRowLastColumn="0" w:lastRowFirstColumn="0" w:lastRowLastColumn="0"/>
            <w:tcW w:w="9494" w:type="dxa"/>
            <w:tcMar/>
          </w:tcPr>
          <w:p w:rsidRPr="00B52738" w:rsidR="00851700" w:rsidP="00B52738" w:rsidRDefault="00B52738" w14:paraId="3A2B5199" w14:textId="615688E5">
            <w:pPr>
              <w:spacing w:after="0"/>
              <w:jc w:val="both"/>
            </w:pPr>
            <w:r w:rsidR="0D1AAD52">
              <w:rPr/>
              <w:t>Z</w:t>
            </w:r>
            <w:r w:rsidR="47509F87">
              <w:rPr/>
              <w:t xml:space="preserve">ero tolerance for fraud, corruption, misuse of </w:t>
            </w:r>
            <w:r w:rsidR="47509F87">
              <w:rPr/>
              <w:t>funds</w:t>
            </w:r>
            <w:r w:rsidR="47509F87">
              <w:rPr/>
              <w:t xml:space="preserve"> and material non-compliance.</w:t>
            </w:r>
          </w:p>
        </w:tc>
      </w:tr>
    </w:tbl>
    <w:p w:rsidRPr="00FA19FC" w:rsidR="006D7ED2" w:rsidP="006D7ED2" w:rsidRDefault="006D7ED2" w14:paraId="7653D4B8" w14:textId="77777777">
      <w:pPr>
        <w:pStyle w:val="ListParagraph"/>
        <w:spacing w:after="0" w:line="240" w:lineRule="auto"/>
        <w:jc w:val="both"/>
      </w:pPr>
    </w:p>
    <w:p w:rsidR="02D998F6" w:rsidP="02D998F6" w:rsidRDefault="02D998F6" w14:paraId="5159BBD2" w14:textId="1193543A">
      <w:pPr>
        <w:pStyle w:val="ListParagraph"/>
        <w:spacing w:after="0" w:line="240" w:lineRule="auto"/>
        <w:jc w:val="both"/>
      </w:pPr>
    </w:p>
    <w:p w:rsidR="0037504C" w:rsidP="000A7C59" w:rsidRDefault="00A25540" w14:paraId="4F5EFB0C" w14:textId="77777777">
      <w:pPr>
        <w:pStyle w:val="WRPPart"/>
        <w:pBdr>
          <w:bottom w:val="single" w:color="B7C4D6" w:sz="6" w:space="1"/>
        </w:pBdr>
        <w:spacing w:before="0" w:after="0" w:line="240" w:lineRule="auto"/>
        <w:jc w:val="both"/>
      </w:pPr>
      <w:r>
        <w:t>PART III – GOVERNANCE AUTHORITIES AND DECISION-MAKING</w:t>
      </w:r>
    </w:p>
    <w:p w:rsidR="000A7C59" w:rsidP="000A7C59" w:rsidRDefault="000A7C59" w14:paraId="6FA00FD9" w14:textId="77777777">
      <w:pPr>
        <w:pStyle w:val="WRPArticle"/>
        <w:spacing w:before="0" w:after="0" w:line="240" w:lineRule="auto"/>
        <w:jc w:val="both"/>
      </w:pPr>
    </w:p>
    <w:p w:rsidR="0037504C" w:rsidP="000A7C59" w:rsidRDefault="00A25540" w14:paraId="09D1E310" w14:textId="01E9564A">
      <w:pPr>
        <w:pStyle w:val="WRPArticle"/>
        <w:spacing w:before="0" w:after="0" w:line="240" w:lineRule="auto"/>
        <w:jc w:val="both"/>
      </w:pPr>
      <w:r>
        <w:t>Article 6 – Institutional Structure</w:t>
      </w:r>
    </w:p>
    <w:p w:rsidR="000A7C59" w:rsidP="000A7C59" w:rsidRDefault="000A7C59" w14:paraId="3CCC7D41" w14:textId="77777777">
      <w:pPr>
        <w:spacing w:after="0" w:line="240" w:lineRule="auto"/>
        <w:jc w:val="both"/>
      </w:pPr>
    </w:p>
    <w:p w:rsidR="0037504C" w:rsidP="000A7C59" w:rsidRDefault="00A25540" w14:paraId="54009F46" w14:textId="184AE834">
      <w:pPr>
        <w:spacing w:after="0" w:line="240" w:lineRule="auto"/>
        <w:jc w:val="both"/>
      </w:pPr>
      <w:r>
        <w:t>WRP</w:t>
      </w:r>
      <w:r w:rsidR="008155BA">
        <w:t>’s</w:t>
      </w:r>
      <w:r>
        <w:t xml:space="preserve"> governance </w:t>
      </w:r>
      <w:r w:rsidR="008155BA">
        <w:t xml:space="preserve">framework </w:t>
      </w:r>
      <w:r>
        <w:t>comprises the SPREP Meeting, the PMC, the Steering Committee, the Programme Management Unit</w:t>
      </w:r>
      <w:r w:rsidR="00990A52">
        <w:t>, the Technical Committee, the Donor Committee, the Liaison Platform</w:t>
      </w:r>
      <w:r w:rsidR="002C2E36">
        <w:t xml:space="preserve">, the </w:t>
      </w:r>
      <w:r w:rsidR="008C5A22">
        <w:t xml:space="preserve">Pacific Resilience Partnership Technical Working Group and </w:t>
      </w:r>
      <w:r>
        <w:t xml:space="preserve">such </w:t>
      </w:r>
      <w:r w:rsidR="008C5A22">
        <w:t xml:space="preserve">other </w:t>
      </w:r>
      <w:r>
        <w:t>bodies as may be established under the WRP governance framework.</w:t>
      </w:r>
    </w:p>
    <w:p w:rsidR="000A7C59" w:rsidP="000A7C59" w:rsidRDefault="000A7C59" w14:paraId="4263AD08" w14:textId="77777777">
      <w:pPr>
        <w:spacing w:after="0" w:line="240" w:lineRule="auto"/>
        <w:jc w:val="both"/>
      </w:pPr>
    </w:p>
    <w:p w:rsidR="0037504C" w:rsidP="000A7C59" w:rsidRDefault="00A25540" w14:paraId="36EB1EB1" w14:textId="37B6E547">
      <w:pPr>
        <w:spacing w:after="0" w:line="240" w:lineRule="auto"/>
        <w:jc w:val="both"/>
      </w:pPr>
      <w:r>
        <w:t>The PMC provides regional strategic oversight, while the Steering Committee exercises programme-level governance and implementation oversight.</w:t>
      </w:r>
      <w:r w:rsidR="008D42AF">
        <w:t xml:space="preserve">  </w:t>
      </w:r>
    </w:p>
    <w:p w:rsidR="000A7C59" w:rsidP="000A7C59" w:rsidRDefault="000A7C59" w14:paraId="4EA8C653" w14:textId="77777777">
      <w:pPr>
        <w:spacing w:after="0" w:line="240" w:lineRule="auto"/>
        <w:jc w:val="both"/>
      </w:pPr>
    </w:p>
    <w:p w:rsidR="0037504C" w:rsidP="000A7C59" w:rsidRDefault="008072F5" w14:paraId="7505331B" w14:textId="1AF33BC8">
      <w:pPr>
        <w:spacing w:after="0" w:line="240" w:lineRule="auto"/>
        <w:jc w:val="both"/>
      </w:pPr>
      <w:r>
        <w:t>T</w:t>
      </w:r>
      <w:r w:rsidRPr="008072F5">
        <w:t>he Technical Committee, the Donor Committee, the Liaison Platform, the</w:t>
      </w:r>
      <w:r w:rsidR="00D6464B">
        <w:t xml:space="preserve"> T</w:t>
      </w:r>
      <w:r w:rsidRPr="008072F5">
        <w:t>echnical Working Group</w:t>
      </w:r>
      <w:r w:rsidR="00A25540">
        <w:t xml:space="preserve"> </w:t>
      </w:r>
      <w:r>
        <w:t xml:space="preserve">and such other technical, </w:t>
      </w:r>
      <w:r w:rsidR="00AF4224">
        <w:t xml:space="preserve">advisory and partnership bodies </w:t>
      </w:r>
      <w:r w:rsidR="00A25540">
        <w:t xml:space="preserve">established under the WRP governance framework are advisory in nature and do not exercise decision-making authority unless expressly authorised </w:t>
      </w:r>
      <w:r w:rsidR="00720F79">
        <w:t>by the Steering Committee</w:t>
      </w:r>
      <w:r w:rsidR="00A25540">
        <w:t>.</w:t>
      </w:r>
    </w:p>
    <w:p w:rsidR="001423EF" w:rsidP="000A7C59" w:rsidRDefault="001423EF" w14:paraId="53BA9591" w14:textId="77777777">
      <w:pPr>
        <w:spacing w:after="0" w:line="240" w:lineRule="auto"/>
        <w:jc w:val="both"/>
      </w:pPr>
    </w:p>
    <w:p w:rsidR="001423EF" w:rsidP="000A7C59" w:rsidRDefault="001423EF" w14:paraId="409B80F6" w14:textId="205E9980">
      <w:pPr>
        <w:spacing w:after="0" w:line="240" w:lineRule="auto"/>
        <w:jc w:val="both"/>
      </w:pPr>
      <w:r>
        <w:t xml:space="preserve">GEDSI considerations will </w:t>
      </w:r>
      <w:r w:rsidR="009F2C8A">
        <w:t xml:space="preserve">be integrated into </w:t>
      </w:r>
      <w:r w:rsidR="00D26A38">
        <w:t>all WRP programme structures, committees and decision</w:t>
      </w:r>
      <w:r w:rsidR="00336231">
        <w:t>-</w:t>
      </w:r>
      <w:r w:rsidR="00D26A38">
        <w:t>making processes to ensure an inclusion lens is applied throughout WRP</w:t>
      </w:r>
      <w:r w:rsidR="00DC6599">
        <w:t>.</w:t>
      </w:r>
    </w:p>
    <w:p w:rsidR="000A7C59" w:rsidP="000A7C59" w:rsidRDefault="000A7C59" w14:paraId="4DFA99A4" w14:textId="77777777">
      <w:pPr>
        <w:pStyle w:val="WRPArticle"/>
        <w:spacing w:before="0" w:after="0" w:line="240" w:lineRule="auto"/>
        <w:jc w:val="both"/>
      </w:pPr>
    </w:p>
    <w:p w:rsidR="02D998F6" w:rsidP="02D998F6" w:rsidRDefault="02D998F6" w14:paraId="4A91780C" w14:textId="0E2DB8FC">
      <w:pPr>
        <w:pStyle w:val="WRPArticle"/>
        <w:spacing w:before="0" w:after="0" w:line="240" w:lineRule="auto"/>
        <w:jc w:val="both"/>
      </w:pPr>
    </w:p>
    <w:p w:rsidR="0037504C" w:rsidP="000A7C59" w:rsidRDefault="00A25540" w14:paraId="63868599" w14:textId="3BCD4C73">
      <w:pPr>
        <w:pStyle w:val="WRPArticle"/>
        <w:spacing w:before="0" w:after="0" w:line="240" w:lineRule="auto"/>
        <w:jc w:val="both"/>
      </w:pPr>
      <w:r>
        <w:t>Article 7 – Delegations of Authority</w:t>
      </w:r>
    </w:p>
    <w:p w:rsidR="000A7C59" w:rsidP="000A7C59" w:rsidRDefault="000A7C59" w14:paraId="67A94AEA" w14:textId="77777777">
      <w:pPr>
        <w:spacing w:after="0" w:line="240" w:lineRule="auto"/>
        <w:jc w:val="both"/>
      </w:pPr>
    </w:p>
    <w:p w:rsidR="00861496" w:rsidP="000A7C59" w:rsidRDefault="00AF4224" w14:paraId="73719EF6" w14:textId="77777777">
      <w:pPr>
        <w:spacing w:after="0" w:line="240" w:lineRule="auto"/>
        <w:jc w:val="both"/>
      </w:pPr>
      <w:r>
        <w:t>WRP d</w:t>
      </w:r>
      <w:r w:rsidR="00A25540">
        <w:t xml:space="preserve">elegations of authority </w:t>
      </w:r>
      <w:r w:rsidR="00B05704">
        <w:t xml:space="preserve">are as </w:t>
      </w:r>
      <w:r w:rsidR="002B0F47">
        <w:t>set out in the Operations Manual</w:t>
      </w:r>
      <w:r w:rsidR="00B05704">
        <w:t xml:space="preserve"> and</w:t>
      </w:r>
      <w:r w:rsidR="002B0F47">
        <w:t xml:space="preserve"> </w:t>
      </w:r>
      <w:r w:rsidR="00A25540">
        <w:t xml:space="preserve">shall distinguish between strategic, financial and operational responsibilities. </w:t>
      </w:r>
    </w:p>
    <w:p w:rsidR="00861496" w:rsidP="000A7C59" w:rsidRDefault="00861496" w14:paraId="47D28D46" w14:textId="77777777">
      <w:pPr>
        <w:spacing w:after="0" w:line="240" w:lineRule="auto"/>
        <w:jc w:val="both"/>
      </w:pPr>
    </w:p>
    <w:p w:rsidR="0037504C" w:rsidP="000A7C59" w:rsidRDefault="00A25540" w14:paraId="3AC022E9" w14:textId="447B9AB1">
      <w:pPr>
        <w:spacing w:after="0" w:line="240" w:lineRule="auto"/>
        <w:jc w:val="both"/>
      </w:pPr>
      <w:r w:rsidR="6ADA0FCC">
        <w:rPr/>
        <w:t xml:space="preserve">Strategic oversight </w:t>
      </w:r>
      <w:r w:rsidR="028E4409">
        <w:rPr/>
        <w:t xml:space="preserve">and decision-making </w:t>
      </w:r>
      <w:r w:rsidR="6ADA0FCC">
        <w:rPr/>
        <w:t>rests</w:t>
      </w:r>
      <w:r w:rsidR="5F863550">
        <w:rPr/>
        <w:t xml:space="preserve"> </w:t>
      </w:r>
      <w:r w:rsidR="6ADA0FCC">
        <w:rPr/>
        <w:t xml:space="preserve">with </w:t>
      </w:r>
      <w:r w:rsidR="128E2A80">
        <w:rPr/>
        <w:t>either the PMC or the Steering Committee</w:t>
      </w:r>
      <w:r w:rsidR="6690C245">
        <w:rPr/>
        <w:t>,</w:t>
      </w:r>
      <w:r w:rsidR="128E2A80">
        <w:rPr/>
        <w:t xml:space="preserve"> as applicable</w:t>
      </w:r>
      <w:r w:rsidR="128E2A80">
        <w:rPr/>
        <w:t xml:space="preserve">. </w:t>
      </w:r>
      <w:r w:rsidR="028E4409">
        <w:rPr/>
        <w:t xml:space="preserve"> </w:t>
      </w:r>
      <w:r w:rsidR="028E4409">
        <w:rPr/>
        <w:t xml:space="preserve">Participation of the WRP Donors in decision-making is through their membership of the Steering Committee </w:t>
      </w:r>
      <w:r w:rsidR="028E4409">
        <w:rPr/>
        <w:t>in accordance with</w:t>
      </w:r>
      <w:r w:rsidR="028E4409">
        <w:rPr/>
        <w:t xml:space="preserve"> Article </w:t>
      </w:r>
      <w:r w:rsidR="7762AEF5">
        <w:rPr/>
        <w:t>9.</w:t>
      </w:r>
      <w:r w:rsidR="128E2A80">
        <w:rPr/>
        <w:t xml:space="preserve"> </w:t>
      </w:r>
      <w:r w:rsidR="6ADA0FCC">
        <w:rPr/>
        <w:t xml:space="preserve">Operational delivery </w:t>
      </w:r>
      <w:r w:rsidR="128E2A80">
        <w:rPr/>
        <w:t xml:space="preserve">is </w:t>
      </w:r>
      <w:r w:rsidR="6ADA0FCC">
        <w:rPr/>
        <w:t xml:space="preserve">delegated to the </w:t>
      </w:r>
      <w:r w:rsidR="128E2A80">
        <w:rPr/>
        <w:t>PMU</w:t>
      </w:r>
      <w:r w:rsidR="281E244C">
        <w:rPr/>
        <w:t xml:space="preserve">.  </w:t>
      </w:r>
      <w:r w:rsidR="281E244C">
        <w:rPr/>
        <w:t>F</w:t>
      </w:r>
      <w:r w:rsidR="6ADA0FCC">
        <w:rPr/>
        <w:t xml:space="preserve">inancial delegations </w:t>
      </w:r>
      <w:r w:rsidR="281E244C">
        <w:rPr/>
        <w:t xml:space="preserve">are as set out in </w:t>
      </w:r>
      <w:r w:rsidR="263C3E30">
        <w:rPr/>
        <w:t xml:space="preserve">SPREP’s Financial Procedures Manual. </w:t>
      </w:r>
    </w:p>
    <w:p w:rsidR="007F3028" w:rsidP="000A7C59" w:rsidRDefault="007F3028" w14:paraId="42D9097E" w14:textId="77777777">
      <w:pPr>
        <w:pStyle w:val="WRPArticle"/>
        <w:spacing w:before="0" w:after="0" w:line="240" w:lineRule="auto"/>
        <w:jc w:val="both"/>
      </w:pPr>
    </w:p>
    <w:p w:rsidR="0037504C" w:rsidP="000A7C59" w:rsidRDefault="00A25540" w14:paraId="281D9809" w14:textId="20937688">
      <w:pPr>
        <w:pStyle w:val="WRPPart"/>
        <w:pBdr>
          <w:bottom w:val="single" w:color="B7C4D6" w:sz="6" w:space="1"/>
        </w:pBdr>
        <w:spacing w:before="0" w:after="0" w:line="240" w:lineRule="auto"/>
        <w:jc w:val="both"/>
      </w:pPr>
      <w:r>
        <w:t>PART IV – THE WRP FUNDING FRAMEWORK</w:t>
      </w:r>
    </w:p>
    <w:p w:rsidR="000A7C59" w:rsidP="000A7C59" w:rsidRDefault="000A7C59" w14:paraId="73831EF2" w14:textId="77777777">
      <w:pPr>
        <w:pStyle w:val="WRPArticle"/>
        <w:spacing w:before="0" w:after="0" w:line="240" w:lineRule="auto"/>
        <w:jc w:val="both"/>
      </w:pPr>
    </w:p>
    <w:p w:rsidR="0037504C" w:rsidP="000A7C59" w:rsidRDefault="00A25540" w14:paraId="125E5B74" w14:textId="69AF0264">
      <w:pPr>
        <w:pStyle w:val="WRPArticle"/>
        <w:spacing w:before="0" w:after="0" w:line="240" w:lineRule="auto"/>
        <w:jc w:val="both"/>
      </w:pPr>
      <w:r>
        <w:t xml:space="preserve">Article </w:t>
      </w:r>
      <w:r w:rsidR="00061BE2">
        <w:t>8</w:t>
      </w:r>
      <w:r>
        <w:t xml:space="preserve"> – Funding Philosophy</w:t>
      </w:r>
    </w:p>
    <w:p w:rsidR="00CF48A9" w:rsidP="000A7C59" w:rsidRDefault="00CF48A9" w14:paraId="0AD3D0F1" w14:textId="77777777">
      <w:pPr>
        <w:spacing w:after="0" w:line="240" w:lineRule="auto"/>
        <w:jc w:val="both"/>
      </w:pPr>
    </w:p>
    <w:p w:rsidR="0037504C" w:rsidP="000A7C59" w:rsidRDefault="003C6317" w14:paraId="48E71DDF" w14:textId="6B7DF9F9">
      <w:pPr>
        <w:spacing w:after="0" w:line="240" w:lineRule="auto"/>
        <w:jc w:val="both"/>
      </w:pPr>
      <w:r>
        <w:t>WRP stakeholders promote</w:t>
      </w:r>
      <w:r w:rsidR="00A25540">
        <w:t xml:space="preserve"> coordinated funding for WRP activities across </w:t>
      </w:r>
      <w:r w:rsidR="005D7EB8">
        <w:t>the</w:t>
      </w:r>
      <w:r w:rsidR="00A25540">
        <w:t xml:space="preserve"> agreed </w:t>
      </w:r>
      <w:r w:rsidR="00B14388">
        <w:t>K</w:t>
      </w:r>
      <w:r w:rsidR="0099330C">
        <w:t xml:space="preserve">ey </w:t>
      </w:r>
      <w:r w:rsidR="00B14388">
        <w:t>R</w:t>
      </w:r>
      <w:r w:rsidR="00A25540">
        <w:t xml:space="preserve">esult </w:t>
      </w:r>
      <w:r w:rsidR="00B14388">
        <w:t>A</w:t>
      </w:r>
      <w:r w:rsidR="00A25540">
        <w:t>reas</w:t>
      </w:r>
      <w:r w:rsidR="005D7EB8">
        <w:t xml:space="preserve"> for WRP</w:t>
      </w:r>
      <w:r w:rsidR="00A25540">
        <w:t xml:space="preserve"> in a way that </w:t>
      </w:r>
      <w:r w:rsidR="00E92361">
        <w:t xml:space="preserve">maximises impact, </w:t>
      </w:r>
      <w:r w:rsidR="00A25540">
        <w:t xml:space="preserve">reduces fragmentation, strengthens Pacific ownership and enables </w:t>
      </w:r>
      <w:r w:rsidR="007E3956">
        <w:t>WRP D</w:t>
      </w:r>
      <w:r w:rsidR="004C1013">
        <w:t>onor</w:t>
      </w:r>
      <w:r w:rsidR="00A25540">
        <w:t>s to contribute through a unified framework</w:t>
      </w:r>
      <w:r w:rsidR="00857359">
        <w:t xml:space="preserve"> that is aimed at maximizing the benefits for, and sovereignty of, Pacific Island Countries and Territories</w:t>
      </w:r>
      <w:r w:rsidR="00A25540">
        <w:t>.</w:t>
      </w:r>
    </w:p>
    <w:p w:rsidR="00925E84" w:rsidP="000A7C59" w:rsidRDefault="00925E84" w14:paraId="036FCAAC" w14:textId="77777777">
      <w:pPr>
        <w:spacing w:after="0" w:line="240" w:lineRule="auto"/>
        <w:jc w:val="both"/>
      </w:pPr>
    </w:p>
    <w:p w:rsidR="0037504C" w:rsidP="000A7C59" w:rsidRDefault="003C6317" w14:paraId="6571DEB5" w14:textId="452C7865">
      <w:pPr>
        <w:spacing w:after="0" w:line="240" w:lineRule="auto"/>
        <w:jc w:val="both"/>
      </w:pPr>
      <w:r>
        <w:t xml:space="preserve">WRP </w:t>
      </w:r>
      <w:r w:rsidR="008E0131">
        <w:t xml:space="preserve">uses </w:t>
      </w:r>
      <w:r w:rsidR="00A25540">
        <w:t xml:space="preserve">pooled </w:t>
      </w:r>
      <w:r w:rsidR="00342AE2">
        <w:t xml:space="preserve">funding </w:t>
      </w:r>
      <w:r w:rsidR="00A25540">
        <w:t xml:space="preserve">in order to </w:t>
      </w:r>
      <w:r w:rsidR="004B5432">
        <w:t xml:space="preserve">adopt a holistic approach which </w:t>
      </w:r>
      <w:r w:rsidR="00AC6CA1">
        <w:t>enhance</w:t>
      </w:r>
      <w:r w:rsidR="004B5432">
        <w:t>s</w:t>
      </w:r>
      <w:r w:rsidR="00AC6CA1">
        <w:t xml:space="preserve"> flexibility, </w:t>
      </w:r>
      <w:r w:rsidR="00A25540">
        <w:t>maximise</w:t>
      </w:r>
      <w:r w:rsidR="004B5432">
        <w:t>s</w:t>
      </w:r>
      <w:r w:rsidR="00A25540">
        <w:t xml:space="preserve"> impact, improve</w:t>
      </w:r>
      <w:r w:rsidR="004B5432">
        <w:t>s</w:t>
      </w:r>
      <w:r w:rsidR="00A25540">
        <w:t xml:space="preserve"> efficiency and support</w:t>
      </w:r>
      <w:r w:rsidR="004B5432">
        <w:t>s</w:t>
      </w:r>
      <w:r w:rsidR="00A25540">
        <w:t xml:space="preserve"> equitable access to resources across Pacific Island Countries and Territories</w:t>
      </w:r>
      <w:r w:rsidR="008E0131">
        <w:t xml:space="preserve">.  </w:t>
      </w:r>
      <w:r w:rsidR="00963A3B">
        <w:t>Ringfenced Funding</w:t>
      </w:r>
      <w:r w:rsidR="00342AE2">
        <w:t xml:space="preserve"> </w:t>
      </w:r>
      <w:r w:rsidR="000E369C">
        <w:t xml:space="preserve">may be approved by </w:t>
      </w:r>
      <w:r w:rsidR="00505089">
        <w:t>SPREP (via the PMU)</w:t>
      </w:r>
      <w:r w:rsidR="000E369C">
        <w:t xml:space="preserve"> </w:t>
      </w:r>
      <w:r w:rsidR="00342AE2">
        <w:t>on an exceptional basis</w:t>
      </w:r>
      <w:r w:rsidR="004B5432">
        <w:t xml:space="preserve"> </w:t>
      </w:r>
      <w:r w:rsidR="00061BE2">
        <w:t xml:space="preserve">during the [first phase of the Implementation Plan] </w:t>
      </w:r>
      <w:r w:rsidR="004B5432">
        <w:t>after which time all financial contributions to WRP shall be paid into the WRP Pooled Fund</w:t>
      </w:r>
      <w:r w:rsidR="00A25540">
        <w:t>.</w:t>
      </w:r>
    </w:p>
    <w:p w:rsidR="00DD0D15" w:rsidP="000A7C59" w:rsidRDefault="00DD0D15" w14:paraId="473ED69C" w14:textId="77777777">
      <w:pPr>
        <w:spacing w:after="0" w:line="240" w:lineRule="auto"/>
        <w:jc w:val="both"/>
      </w:pPr>
    </w:p>
    <w:p w:rsidR="00EE5FC9" w:rsidP="00EE5FC9" w:rsidRDefault="00EE5FC9" w14:paraId="46B59799" w14:textId="1BA42F45">
      <w:pPr>
        <w:spacing w:after="0" w:line="240" w:lineRule="auto"/>
        <w:jc w:val="both"/>
      </w:pPr>
      <w:r w:rsidR="5CACF27C">
        <w:rPr/>
        <w:t xml:space="preserve">WRP may also be supported through </w:t>
      </w:r>
      <w:r w:rsidR="7762AEF5">
        <w:rPr/>
        <w:t xml:space="preserve">Other </w:t>
      </w:r>
      <w:r w:rsidR="7762AEF5">
        <w:rPr/>
        <w:t>Support</w:t>
      </w:r>
      <w:r w:rsidR="5CACF27C">
        <w:rPr/>
        <w:t>,</w:t>
      </w:r>
      <w:r w:rsidR="5CACF27C">
        <w:rPr/>
        <w:t xml:space="preserve"> cost-sharing arrangements, revolving </w:t>
      </w:r>
      <w:r w:rsidR="5CACF27C">
        <w:rPr/>
        <w:t>mechanisms</w:t>
      </w:r>
      <w:r w:rsidR="5CACF27C">
        <w:rPr/>
        <w:t xml:space="preserve"> and revenue-generating activities, provided that such support is consistent with WRP objectives and principles and is approved</w:t>
      </w:r>
      <w:r w:rsidR="5A8B533F">
        <w:rPr/>
        <w:t xml:space="preserve"> by the Steering Committee</w:t>
      </w:r>
      <w:r w:rsidR="5CACF27C">
        <w:rPr/>
        <w:t xml:space="preserve"> and managed </w:t>
      </w:r>
      <w:r w:rsidR="5CACF27C">
        <w:rPr/>
        <w:t>in accordance with</w:t>
      </w:r>
      <w:r w:rsidR="5CACF27C">
        <w:rPr/>
        <w:t xml:space="preserve"> this Charter, the Operations Manual and applicable SPREP </w:t>
      </w:r>
      <w:r w:rsidR="10F84DE6">
        <w:rPr/>
        <w:t>Policies</w:t>
      </w:r>
      <w:r w:rsidR="5CACF27C">
        <w:rPr/>
        <w:t>.</w:t>
      </w:r>
    </w:p>
    <w:p w:rsidR="00EE5FC9" w:rsidP="00EE5FC9" w:rsidRDefault="00EE5FC9" w14:paraId="3F85A951" w14:textId="77777777">
      <w:pPr>
        <w:spacing w:after="0" w:line="240" w:lineRule="auto"/>
        <w:jc w:val="both"/>
      </w:pPr>
    </w:p>
    <w:p w:rsidR="00EE5FC9" w:rsidP="00EE5FC9" w:rsidRDefault="00EE5FC9" w14:paraId="05BD4F03" w14:textId="7543CCDF">
      <w:pPr>
        <w:spacing w:after="0" w:line="240" w:lineRule="auto"/>
        <w:jc w:val="both"/>
      </w:pPr>
      <w:r>
        <w:t>Any such arrangement shall be approved only where:</w:t>
      </w:r>
    </w:p>
    <w:p w:rsidR="00EE5FC9" w:rsidP="00EE5FC9" w:rsidRDefault="00EE5FC9" w14:paraId="35F669E9" w14:textId="77777777">
      <w:pPr>
        <w:spacing w:after="0" w:line="240" w:lineRule="auto"/>
        <w:jc w:val="both"/>
      </w:pPr>
    </w:p>
    <w:p w:rsidRPr="00EE5FC9" w:rsidR="00EE5FC9" w:rsidP="00EE5FC9" w:rsidRDefault="00EE5FC9" w14:paraId="4A8CDD9D" w14:textId="46308E5B">
      <w:pPr>
        <w:pStyle w:val="ListParagraph"/>
        <w:numPr>
          <w:ilvl w:val="0"/>
          <w:numId w:val="20"/>
        </w:numPr>
        <w:spacing w:after="0" w:line="240" w:lineRule="auto"/>
        <w:jc w:val="both"/>
        <w:rPr>
          <w:bCs/>
        </w:rPr>
      </w:pPr>
      <w:r w:rsidRPr="00EE5FC9">
        <w:rPr>
          <w:bCs/>
        </w:rPr>
        <w:t xml:space="preserve">it is consistent with WRP’s </w:t>
      </w:r>
      <w:r w:rsidR="00072A69">
        <w:rPr>
          <w:bCs/>
        </w:rPr>
        <w:t>principles</w:t>
      </w:r>
      <w:r w:rsidRPr="00EE5FC9">
        <w:rPr>
          <w:bCs/>
        </w:rPr>
        <w:t>;</w:t>
      </w:r>
    </w:p>
    <w:p w:rsidRPr="00EE5FC9" w:rsidR="00EE5FC9" w:rsidP="00EE5FC9" w:rsidRDefault="00EE5FC9" w14:paraId="191E9A5E" w14:textId="7020778E">
      <w:pPr>
        <w:pStyle w:val="ListParagraph"/>
        <w:numPr>
          <w:ilvl w:val="0"/>
          <w:numId w:val="20"/>
        </w:numPr>
        <w:spacing w:after="0" w:line="240" w:lineRule="auto"/>
        <w:jc w:val="both"/>
        <w:rPr>
          <w:bCs/>
        </w:rPr>
      </w:pPr>
      <w:r w:rsidRPr="00EE5FC9">
        <w:rPr>
          <w:bCs/>
        </w:rPr>
        <w:t>it does not undermine equitable access to core public-good services;</w:t>
      </w:r>
    </w:p>
    <w:p w:rsidRPr="00EE5FC9" w:rsidR="00EE5FC9" w:rsidP="00EE5FC9" w:rsidRDefault="00EE5FC9" w14:paraId="4614C2D1" w14:textId="554E681D">
      <w:pPr>
        <w:pStyle w:val="ListParagraph"/>
        <w:numPr>
          <w:ilvl w:val="0"/>
          <w:numId w:val="20"/>
        </w:numPr>
        <w:spacing w:after="0" w:line="240" w:lineRule="auto"/>
        <w:jc w:val="both"/>
        <w:rPr>
          <w:bCs/>
        </w:rPr>
      </w:pPr>
      <w:r w:rsidRPr="00EE5FC9">
        <w:rPr>
          <w:bCs/>
        </w:rPr>
        <w:t>the relevant legal, treasury, fiduciary, safeguard, counterparty and reputational implications have been assessed;</w:t>
      </w:r>
    </w:p>
    <w:p w:rsidR="00EE5FC9" w:rsidP="00EE5FC9" w:rsidRDefault="00EE5FC9" w14:paraId="2582AE62" w14:textId="3BFCF488">
      <w:pPr>
        <w:pStyle w:val="ListParagraph"/>
        <w:numPr>
          <w:ilvl w:val="0"/>
          <w:numId w:val="20"/>
        </w:numPr>
        <w:spacing w:after="0" w:line="240" w:lineRule="auto"/>
        <w:jc w:val="both"/>
        <w:rPr>
          <w:bCs/>
        </w:rPr>
      </w:pPr>
      <w:r w:rsidRPr="00EE5FC9">
        <w:rPr>
          <w:bCs/>
        </w:rPr>
        <w:t>it demonstrates a credible contribution to sustainability, leverage, resilience financing or wider mobilisation of finance</w:t>
      </w:r>
      <w:r w:rsidR="004B5432">
        <w:rPr>
          <w:bCs/>
        </w:rPr>
        <w:t>; and</w:t>
      </w:r>
    </w:p>
    <w:p w:rsidRPr="00EE5FC9" w:rsidR="004B5432" w:rsidP="00EE5FC9" w:rsidRDefault="004B5432" w14:paraId="6B2B20C2" w14:textId="1A2B8243">
      <w:pPr>
        <w:pStyle w:val="ListParagraph"/>
        <w:numPr>
          <w:ilvl w:val="0"/>
          <w:numId w:val="20"/>
        </w:numPr>
        <w:spacing w:after="0" w:line="240" w:lineRule="auto"/>
        <w:jc w:val="both"/>
        <w:rPr>
          <w:bCs/>
        </w:rPr>
      </w:pPr>
      <w:r>
        <w:rPr>
          <w:bCs/>
        </w:rPr>
        <w:t xml:space="preserve">any receipts </w:t>
      </w:r>
      <w:r w:rsidR="007479C8">
        <w:rPr>
          <w:bCs/>
        </w:rPr>
        <w:t>generated by WRP through</w:t>
      </w:r>
      <w:r>
        <w:rPr>
          <w:bCs/>
        </w:rPr>
        <w:t xml:space="preserve"> revolving mechanism</w:t>
      </w:r>
      <w:r w:rsidR="007479C8">
        <w:rPr>
          <w:bCs/>
        </w:rPr>
        <w:t xml:space="preserve">s, </w:t>
      </w:r>
      <w:r>
        <w:rPr>
          <w:bCs/>
        </w:rPr>
        <w:t>revenue-generating activities</w:t>
      </w:r>
      <w:r w:rsidR="007479C8">
        <w:rPr>
          <w:bCs/>
        </w:rPr>
        <w:t xml:space="preserve"> or otherwise</w:t>
      </w:r>
      <w:r>
        <w:rPr>
          <w:bCs/>
        </w:rPr>
        <w:t xml:space="preserve"> shall be paid into the WRP Pooled Fund</w:t>
      </w:r>
      <w:r w:rsidR="00061BE2">
        <w:rPr>
          <w:bCs/>
        </w:rPr>
        <w:t xml:space="preserve"> unless otherwise agreed by the Steering Committee</w:t>
      </w:r>
      <w:r>
        <w:rPr>
          <w:bCs/>
        </w:rPr>
        <w:t>.</w:t>
      </w:r>
    </w:p>
    <w:p w:rsidR="00EE5FC9" w:rsidP="00EE5FC9" w:rsidRDefault="00EE5FC9" w14:paraId="2168B301" w14:textId="77777777">
      <w:pPr>
        <w:spacing w:after="0" w:line="240" w:lineRule="auto"/>
        <w:jc w:val="both"/>
      </w:pPr>
    </w:p>
    <w:p w:rsidR="00925E84" w:rsidP="00EE5FC9" w:rsidRDefault="007E3956" w14:paraId="1DFDEA12" w14:textId="2FCB3BD6">
      <w:pPr>
        <w:spacing w:after="0" w:line="240" w:lineRule="auto"/>
        <w:jc w:val="both"/>
      </w:pPr>
      <w:r>
        <w:t>A</w:t>
      </w:r>
      <w:r w:rsidR="00EE5FC9">
        <w:t>ll such support shall be reflected in WRP planning, budgeting, monitoring and reporting arrangements in order to preserve a coherent view of the overall WRP investment effort.</w:t>
      </w:r>
    </w:p>
    <w:p w:rsidR="000A7C59" w:rsidP="000A7C59" w:rsidRDefault="000A7C59" w14:paraId="52607061" w14:textId="77777777">
      <w:pPr>
        <w:pStyle w:val="WRPArticle"/>
        <w:spacing w:before="0" w:after="0" w:line="240" w:lineRule="auto"/>
        <w:jc w:val="both"/>
      </w:pPr>
    </w:p>
    <w:p w:rsidR="003A0A95" w:rsidP="000A7C59" w:rsidRDefault="00A25540" w14:paraId="77C55361" w14:textId="4FD21F56">
      <w:pPr>
        <w:pStyle w:val="WRPArticle"/>
        <w:spacing w:before="0" w:after="0" w:line="240" w:lineRule="auto"/>
        <w:jc w:val="both"/>
      </w:pPr>
      <w:r>
        <w:t xml:space="preserve">Article </w:t>
      </w:r>
      <w:r w:rsidR="00061BE2">
        <w:t>9</w:t>
      </w:r>
      <w:r>
        <w:t xml:space="preserve"> – </w:t>
      </w:r>
      <w:r w:rsidR="003B4F53">
        <w:t xml:space="preserve">WRP </w:t>
      </w:r>
      <w:r w:rsidR="004C1013">
        <w:t>Donor</w:t>
      </w:r>
      <w:r w:rsidR="003A0A95">
        <w:t>s</w:t>
      </w:r>
    </w:p>
    <w:p w:rsidRPr="005C62C0" w:rsidR="005C62C0" w:rsidP="005C62C0" w:rsidRDefault="005C62C0" w14:paraId="19DB7394" w14:textId="6DE787BA">
      <w:pPr>
        <w:pStyle w:val="WRPArticle"/>
        <w:spacing w:after="0" w:line="240" w:lineRule="auto"/>
        <w:jc w:val="both"/>
        <w:rPr>
          <w:rFonts w:eastAsiaTheme="minorEastAsia" w:cstheme="minorBidi"/>
          <w:b w:val="0"/>
          <w:bCs w:val="0"/>
          <w:color w:val="auto"/>
          <w:sz w:val="21"/>
          <w:szCs w:val="22"/>
        </w:rPr>
      </w:pPr>
      <w:r w:rsidRPr="005C62C0">
        <w:rPr>
          <w:rFonts w:eastAsiaTheme="minorEastAsia" w:cstheme="minorBidi"/>
          <w:b w:val="0"/>
          <w:bCs w:val="0"/>
          <w:color w:val="auto"/>
          <w:sz w:val="21"/>
          <w:szCs w:val="22"/>
        </w:rPr>
        <w:t xml:space="preserve">All </w:t>
      </w:r>
      <w:r w:rsidR="00E55654">
        <w:rPr>
          <w:rFonts w:eastAsiaTheme="minorEastAsia" w:cstheme="minorBidi"/>
          <w:b w:val="0"/>
          <w:bCs w:val="0"/>
          <w:color w:val="auto"/>
          <w:sz w:val="21"/>
          <w:szCs w:val="22"/>
        </w:rPr>
        <w:t>bilateral</w:t>
      </w:r>
      <w:r w:rsidRPr="005C62C0">
        <w:rPr>
          <w:rFonts w:eastAsiaTheme="minorEastAsia" w:cstheme="minorBidi"/>
          <w:b w:val="0"/>
          <w:bCs w:val="0"/>
          <w:color w:val="auto"/>
          <w:sz w:val="21"/>
          <w:szCs w:val="22"/>
        </w:rPr>
        <w:t xml:space="preserve"> donors, </w:t>
      </w:r>
      <w:r w:rsidR="00920E06">
        <w:rPr>
          <w:rFonts w:eastAsiaTheme="minorEastAsia" w:cstheme="minorBidi"/>
          <w:b w:val="0"/>
          <w:bCs w:val="0"/>
          <w:color w:val="auto"/>
          <w:sz w:val="21"/>
          <w:szCs w:val="22"/>
        </w:rPr>
        <w:t>U</w:t>
      </w:r>
      <w:r w:rsidR="004049A9">
        <w:rPr>
          <w:rFonts w:eastAsiaTheme="minorEastAsia" w:cstheme="minorBidi"/>
          <w:b w:val="0"/>
          <w:bCs w:val="0"/>
          <w:color w:val="auto"/>
          <w:sz w:val="21"/>
          <w:szCs w:val="22"/>
        </w:rPr>
        <w:t xml:space="preserve">nited </w:t>
      </w:r>
      <w:r w:rsidR="00920E06">
        <w:rPr>
          <w:rFonts w:eastAsiaTheme="minorEastAsia" w:cstheme="minorBidi"/>
          <w:b w:val="0"/>
          <w:bCs w:val="0"/>
          <w:color w:val="auto"/>
          <w:sz w:val="21"/>
          <w:szCs w:val="22"/>
        </w:rPr>
        <w:t>N</w:t>
      </w:r>
      <w:r w:rsidR="004049A9">
        <w:rPr>
          <w:rFonts w:eastAsiaTheme="minorEastAsia" w:cstheme="minorBidi"/>
          <w:b w:val="0"/>
          <w:bCs w:val="0"/>
          <w:color w:val="auto"/>
          <w:sz w:val="21"/>
          <w:szCs w:val="22"/>
        </w:rPr>
        <w:t>ations</w:t>
      </w:r>
      <w:r w:rsidR="00920E06">
        <w:rPr>
          <w:rFonts w:eastAsiaTheme="minorEastAsia" w:cstheme="minorBidi"/>
          <w:b w:val="0"/>
          <w:bCs w:val="0"/>
          <w:color w:val="auto"/>
          <w:sz w:val="21"/>
          <w:szCs w:val="22"/>
        </w:rPr>
        <w:t xml:space="preserve"> organisations, </w:t>
      </w:r>
      <w:r w:rsidRPr="005C62C0">
        <w:rPr>
          <w:rFonts w:eastAsiaTheme="minorEastAsia" w:cstheme="minorBidi"/>
          <w:b w:val="0"/>
          <w:bCs w:val="0"/>
          <w:color w:val="auto"/>
          <w:sz w:val="21"/>
          <w:szCs w:val="22"/>
        </w:rPr>
        <w:t>international financial institutions</w:t>
      </w:r>
      <w:r w:rsidR="003C5664">
        <w:rPr>
          <w:rFonts w:eastAsiaTheme="minorEastAsia" w:cstheme="minorBidi"/>
          <w:b w:val="0"/>
          <w:bCs w:val="0"/>
          <w:color w:val="auto"/>
          <w:sz w:val="21"/>
          <w:szCs w:val="22"/>
        </w:rPr>
        <w:t xml:space="preserve">, </w:t>
      </w:r>
      <w:r w:rsidR="00E55654">
        <w:rPr>
          <w:rFonts w:eastAsiaTheme="minorEastAsia" w:cstheme="minorBidi"/>
          <w:b w:val="0"/>
          <w:bCs w:val="0"/>
          <w:color w:val="auto"/>
          <w:sz w:val="21"/>
          <w:szCs w:val="22"/>
        </w:rPr>
        <w:t xml:space="preserve">multilateral </w:t>
      </w:r>
      <w:r w:rsidR="003C5664">
        <w:rPr>
          <w:rFonts w:eastAsiaTheme="minorEastAsia" w:cstheme="minorBidi"/>
          <w:b w:val="0"/>
          <w:bCs w:val="0"/>
          <w:color w:val="auto"/>
          <w:sz w:val="21"/>
          <w:szCs w:val="22"/>
        </w:rPr>
        <w:t>climate finance funds or equivalent</w:t>
      </w:r>
      <w:r w:rsidR="009B6156">
        <w:rPr>
          <w:rFonts w:eastAsiaTheme="minorEastAsia" w:cstheme="minorBidi"/>
          <w:b w:val="0"/>
          <w:bCs w:val="0"/>
          <w:color w:val="auto"/>
          <w:sz w:val="21"/>
          <w:szCs w:val="22"/>
        </w:rPr>
        <w:t xml:space="preserve"> institutions</w:t>
      </w:r>
      <w:r w:rsidR="00920E06">
        <w:rPr>
          <w:rFonts w:eastAsiaTheme="minorEastAsia" w:cstheme="minorBidi"/>
          <w:b w:val="0"/>
          <w:bCs w:val="0"/>
          <w:color w:val="auto"/>
          <w:sz w:val="21"/>
          <w:szCs w:val="22"/>
        </w:rPr>
        <w:t xml:space="preserve">, </w:t>
      </w:r>
      <w:r w:rsidR="00335CF1">
        <w:rPr>
          <w:rFonts w:eastAsiaTheme="minorEastAsia" w:cstheme="minorBidi"/>
          <w:b w:val="0"/>
          <w:bCs w:val="0"/>
          <w:color w:val="auto"/>
          <w:sz w:val="21"/>
          <w:szCs w:val="22"/>
        </w:rPr>
        <w:t>philanthropic partners</w:t>
      </w:r>
      <w:r w:rsidR="008D5295">
        <w:rPr>
          <w:rFonts w:eastAsiaTheme="minorEastAsia" w:cstheme="minorBidi"/>
          <w:b w:val="0"/>
          <w:bCs w:val="0"/>
          <w:color w:val="auto"/>
          <w:sz w:val="21"/>
          <w:szCs w:val="22"/>
        </w:rPr>
        <w:t>, and other public</w:t>
      </w:r>
      <w:r w:rsidR="00920E06">
        <w:rPr>
          <w:rFonts w:eastAsiaTheme="minorEastAsia" w:cstheme="minorBidi"/>
          <w:b w:val="0"/>
          <w:bCs w:val="0"/>
          <w:color w:val="auto"/>
          <w:sz w:val="21"/>
          <w:szCs w:val="22"/>
        </w:rPr>
        <w:t xml:space="preserve"> and </w:t>
      </w:r>
      <w:r w:rsidR="009B6156">
        <w:rPr>
          <w:rFonts w:eastAsiaTheme="minorEastAsia" w:cstheme="minorBidi"/>
          <w:b w:val="0"/>
          <w:bCs w:val="0"/>
          <w:color w:val="auto"/>
          <w:sz w:val="21"/>
          <w:szCs w:val="22"/>
        </w:rPr>
        <w:t>private sector entities</w:t>
      </w:r>
      <w:r w:rsidRPr="005C62C0">
        <w:rPr>
          <w:rFonts w:eastAsiaTheme="minorEastAsia" w:cstheme="minorBidi"/>
          <w:b w:val="0"/>
          <w:bCs w:val="0"/>
          <w:color w:val="auto"/>
          <w:sz w:val="21"/>
          <w:szCs w:val="22"/>
        </w:rPr>
        <w:t xml:space="preserve"> wishing to co-operate in the pursuit of </w:t>
      </w:r>
      <w:r w:rsidR="00E1654E">
        <w:rPr>
          <w:rFonts w:eastAsiaTheme="minorEastAsia" w:cstheme="minorBidi"/>
          <w:b w:val="0"/>
          <w:bCs w:val="0"/>
          <w:color w:val="auto"/>
          <w:sz w:val="21"/>
          <w:szCs w:val="22"/>
        </w:rPr>
        <w:t>WRP</w:t>
      </w:r>
      <w:r w:rsidRPr="005C62C0">
        <w:rPr>
          <w:rFonts w:eastAsiaTheme="minorEastAsia" w:cstheme="minorBidi"/>
          <w:b w:val="0"/>
          <w:bCs w:val="0"/>
          <w:color w:val="auto"/>
          <w:sz w:val="21"/>
          <w:szCs w:val="22"/>
        </w:rPr>
        <w:t xml:space="preserve">'s aims under the terms of this </w:t>
      </w:r>
      <w:r w:rsidR="00E1654E">
        <w:rPr>
          <w:rFonts w:eastAsiaTheme="minorEastAsia" w:cstheme="minorBidi"/>
          <w:b w:val="0"/>
          <w:bCs w:val="0"/>
          <w:color w:val="auto"/>
          <w:sz w:val="21"/>
          <w:szCs w:val="22"/>
        </w:rPr>
        <w:t>Charter</w:t>
      </w:r>
      <w:r w:rsidRPr="005C62C0">
        <w:rPr>
          <w:rFonts w:eastAsiaTheme="minorEastAsia" w:cstheme="minorBidi"/>
          <w:b w:val="0"/>
          <w:bCs w:val="0"/>
          <w:color w:val="auto"/>
          <w:sz w:val="21"/>
          <w:szCs w:val="22"/>
        </w:rPr>
        <w:t xml:space="preserve"> may</w:t>
      </w:r>
      <w:r w:rsidR="007E5343">
        <w:rPr>
          <w:rFonts w:eastAsiaTheme="minorEastAsia" w:cstheme="minorBidi"/>
          <w:b w:val="0"/>
          <w:bCs w:val="0"/>
          <w:color w:val="auto"/>
          <w:sz w:val="21"/>
          <w:szCs w:val="22"/>
        </w:rPr>
        <w:t xml:space="preserve"> be</w:t>
      </w:r>
      <w:r w:rsidR="00E55654">
        <w:rPr>
          <w:rFonts w:eastAsiaTheme="minorEastAsia" w:cstheme="minorBidi"/>
          <w:b w:val="0"/>
          <w:bCs w:val="0"/>
          <w:color w:val="auto"/>
          <w:sz w:val="21"/>
          <w:szCs w:val="22"/>
        </w:rPr>
        <w:t>come</w:t>
      </w:r>
      <w:r w:rsidR="007E5343">
        <w:rPr>
          <w:rFonts w:eastAsiaTheme="minorEastAsia" w:cstheme="minorBidi"/>
          <w:b w:val="0"/>
          <w:bCs w:val="0"/>
          <w:color w:val="auto"/>
          <w:sz w:val="21"/>
          <w:szCs w:val="22"/>
        </w:rPr>
        <w:t xml:space="preserve"> </w:t>
      </w:r>
      <w:r w:rsidR="00E1654E">
        <w:rPr>
          <w:rFonts w:eastAsiaTheme="minorEastAsia" w:cstheme="minorBidi"/>
          <w:b w:val="0"/>
          <w:bCs w:val="0"/>
          <w:color w:val="auto"/>
          <w:sz w:val="21"/>
          <w:szCs w:val="22"/>
        </w:rPr>
        <w:t xml:space="preserve">WRP </w:t>
      </w:r>
      <w:r w:rsidR="007E3956">
        <w:rPr>
          <w:rFonts w:eastAsiaTheme="minorEastAsia" w:cstheme="minorBidi"/>
          <w:b w:val="0"/>
          <w:bCs w:val="0"/>
          <w:color w:val="auto"/>
          <w:sz w:val="21"/>
          <w:szCs w:val="22"/>
        </w:rPr>
        <w:t>D</w:t>
      </w:r>
      <w:r w:rsidR="004C1013">
        <w:rPr>
          <w:rFonts w:eastAsiaTheme="minorEastAsia" w:cstheme="minorBidi"/>
          <w:b w:val="0"/>
          <w:bCs w:val="0"/>
          <w:color w:val="auto"/>
          <w:sz w:val="21"/>
          <w:szCs w:val="22"/>
        </w:rPr>
        <w:t>onor</w:t>
      </w:r>
      <w:r w:rsidR="00E1654E">
        <w:rPr>
          <w:rFonts w:eastAsiaTheme="minorEastAsia" w:cstheme="minorBidi"/>
          <w:b w:val="0"/>
          <w:bCs w:val="0"/>
          <w:color w:val="auto"/>
          <w:sz w:val="21"/>
          <w:szCs w:val="22"/>
        </w:rPr>
        <w:t>s</w:t>
      </w:r>
      <w:r w:rsidRPr="005C62C0">
        <w:rPr>
          <w:rFonts w:eastAsiaTheme="minorEastAsia" w:cstheme="minorBidi"/>
          <w:b w:val="0"/>
          <w:bCs w:val="0"/>
          <w:color w:val="auto"/>
          <w:sz w:val="21"/>
          <w:szCs w:val="22"/>
        </w:rPr>
        <w:t>.</w:t>
      </w:r>
    </w:p>
    <w:p w:rsidRPr="003B4F53" w:rsidR="005C62C0" w:rsidP="02D998F6" w:rsidRDefault="005C62C0" w14:paraId="41734EAC" w14:textId="246248E6">
      <w:pPr>
        <w:pStyle w:val="WRPArticle"/>
        <w:spacing w:after="0" w:line="240" w:lineRule="auto"/>
        <w:jc w:val="both"/>
        <w:rPr>
          <w:rFonts w:eastAsia="ＭＳ 明朝" w:cs="" w:eastAsiaTheme="minorEastAsia" w:cstheme="minorBidi"/>
          <w:b w:val="0"/>
          <w:bCs w:val="0"/>
          <w:color w:val="auto"/>
          <w:sz w:val="21"/>
          <w:szCs w:val="21"/>
        </w:rPr>
      </w:pPr>
      <w:r w:rsidRPr="02D998F6" w:rsidR="6B0F9FD9">
        <w:rPr>
          <w:rFonts w:eastAsia="ＭＳ 明朝" w:cs="" w:eastAsiaTheme="minorEastAsia" w:cstheme="minorBidi"/>
          <w:b w:val="0"/>
          <w:bCs w:val="0"/>
          <w:color w:val="auto"/>
          <w:sz w:val="21"/>
          <w:szCs w:val="21"/>
        </w:rPr>
        <w:t>Each</w:t>
      </w:r>
      <w:r w:rsidRPr="02D998F6" w:rsidR="41084C7F">
        <w:rPr>
          <w:rFonts w:eastAsia="ＭＳ 明朝" w:cs="" w:eastAsiaTheme="minorEastAsia" w:cstheme="minorBidi"/>
          <w:b w:val="0"/>
          <w:bCs w:val="0"/>
          <w:color w:val="auto"/>
          <w:sz w:val="21"/>
          <w:szCs w:val="21"/>
        </w:rPr>
        <w:t xml:space="preserve"> </w:t>
      </w:r>
      <w:r w:rsidRPr="02D998F6" w:rsidR="604B6357">
        <w:rPr>
          <w:rFonts w:eastAsia="ＭＳ 明朝" w:cs="" w:eastAsiaTheme="minorEastAsia" w:cstheme="minorBidi"/>
          <w:b w:val="0"/>
          <w:bCs w:val="0"/>
          <w:color w:val="auto"/>
          <w:sz w:val="21"/>
          <w:szCs w:val="21"/>
        </w:rPr>
        <w:t>WRP D</w:t>
      </w:r>
      <w:r w:rsidRPr="02D998F6" w:rsidR="2A1AAC52">
        <w:rPr>
          <w:rFonts w:eastAsia="ＭＳ 明朝" w:cs="" w:eastAsiaTheme="minorEastAsia" w:cstheme="minorBidi"/>
          <w:b w:val="0"/>
          <w:bCs w:val="0"/>
          <w:color w:val="auto"/>
          <w:sz w:val="21"/>
          <w:szCs w:val="21"/>
        </w:rPr>
        <w:t>onor</w:t>
      </w:r>
      <w:r w:rsidRPr="02D998F6" w:rsidR="41084C7F">
        <w:rPr>
          <w:rFonts w:eastAsia="ＭＳ 明朝" w:cs="" w:eastAsiaTheme="minorEastAsia" w:cstheme="minorBidi"/>
          <w:b w:val="0"/>
          <w:bCs w:val="0"/>
          <w:color w:val="auto"/>
          <w:sz w:val="21"/>
          <w:szCs w:val="21"/>
        </w:rPr>
        <w:t xml:space="preserve"> providin</w:t>
      </w:r>
      <w:r w:rsidRPr="02D998F6" w:rsidR="6B0F9FD9">
        <w:rPr>
          <w:rFonts w:eastAsia="ＭＳ 明朝" w:cs="" w:eastAsiaTheme="minorEastAsia" w:cstheme="minorBidi"/>
          <w:b w:val="0"/>
          <w:bCs w:val="0"/>
          <w:color w:val="auto"/>
          <w:sz w:val="21"/>
          <w:szCs w:val="21"/>
        </w:rPr>
        <w:t xml:space="preserve">g </w:t>
      </w:r>
      <w:r w:rsidRPr="02D998F6" w:rsidR="6B5FA96F">
        <w:rPr>
          <w:rFonts w:eastAsia="ＭＳ 明朝" w:cs="" w:eastAsiaTheme="minorEastAsia" w:cstheme="minorBidi"/>
          <w:b w:val="0"/>
          <w:bCs w:val="0"/>
          <w:color w:val="auto"/>
          <w:sz w:val="21"/>
          <w:szCs w:val="21"/>
        </w:rPr>
        <w:t xml:space="preserve">Pooled Funding with an aggregate value of </w:t>
      </w:r>
      <w:r w:rsidRPr="02D998F6" w:rsidR="6B0F9FD9">
        <w:rPr>
          <w:rFonts w:eastAsia="ＭＳ 明朝" w:cs="" w:eastAsiaTheme="minorEastAsia" w:cstheme="minorBidi"/>
          <w:b w:val="0"/>
          <w:bCs w:val="0"/>
          <w:color w:val="auto"/>
          <w:sz w:val="21"/>
          <w:szCs w:val="21"/>
        </w:rPr>
        <w:t>USD 5</w:t>
      </w:r>
      <w:r w:rsidRPr="02D998F6" w:rsidR="15B6A10A">
        <w:rPr>
          <w:rFonts w:eastAsia="ＭＳ 明朝" w:cs="" w:eastAsiaTheme="minorEastAsia" w:cstheme="minorBidi"/>
          <w:b w:val="0"/>
          <w:bCs w:val="0"/>
          <w:color w:val="auto"/>
          <w:sz w:val="21"/>
          <w:szCs w:val="21"/>
        </w:rPr>
        <w:t>00</w:t>
      </w:r>
      <w:r w:rsidRPr="02D998F6" w:rsidR="6B0F9FD9">
        <w:rPr>
          <w:rFonts w:eastAsia="ＭＳ 明朝" w:cs="" w:eastAsiaTheme="minorEastAsia" w:cstheme="minorBidi"/>
          <w:b w:val="0"/>
          <w:bCs w:val="0"/>
          <w:color w:val="auto"/>
          <w:sz w:val="21"/>
          <w:szCs w:val="21"/>
        </w:rPr>
        <w:t xml:space="preserve">,000 (five </w:t>
      </w:r>
      <w:r w:rsidRPr="02D998F6" w:rsidR="15B6A10A">
        <w:rPr>
          <w:rFonts w:eastAsia="ＭＳ 明朝" w:cs="" w:eastAsiaTheme="minorEastAsia" w:cstheme="minorBidi"/>
          <w:b w:val="0"/>
          <w:bCs w:val="0"/>
          <w:color w:val="auto"/>
          <w:sz w:val="21"/>
          <w:szCs w:val="21"/>
        </w:rPr>
        <w:t>hundred thousand</w:t>
      </w:r>
      <w:r w:rsidRPr="02D998F6" w:rsidR="49979E61">
        <w:rPr>
          <w:rFonts w:eastAsia="ＭＳ 明朝" w:cs="" w:eastAsiaTheme="minorEastAsia" w:cstheme="minorBidi"/>
          <w:b w:val="0"/>
          <w:bCs w:val="0"/>
          <w:color w:val="auto"/>
          <w:sz w:val="21"/>
          <w:szCs w:val="21"/>
        </w:rPr>
        <w:t xml:space="preserve"> United States dollars</w:t>
      </w:r>
      <w:r w:rsidRPr="02D998F6" w:rsidR="6B0F9FD9">
        <w:rPr>
          <w:rFonts w:eastAsia="ＭＳ 明朝" w:cs="" w:eastAsiaTheme="minorEastAsia" w:cstheme="minorBidi"/>
          <w:b w:val="0"/>
          <w:bCs w:val="0"/>
          <w:color w:val="auto"/>
          <w:sz w:val="21"/>
          <w:szCs w:val="21"/>
        </w:rPr>
        <w:t xml:space="preserve">) </w:t>
      </w:r>
      <w:r w:rsidRPr="02D998F6" w:rsidR="6B5FA96F">
        <w:rPr>
          <w:rFonts w:eastAsia="ＭＳ 明朝" w:cs="" w:eastAsiaTheme="minorEastAsia" w:cstheme="minorBidi"/>
          <w:b w:val="0"/>
          <w:bCs w:val="0"/>
          <w:color w:val="auto"/>
          <w:sz w:val="21"/>
          <w:szCs w:val="21"/>
        </w:rPr>
        <w:t>or more shall be</w:t>
      </w:r>
      <w:r w:rsidRPr="02D998F6" w:rsidR="6B0F9FD9">
        <w:rPr>
          <w:rFonts w:eastAsia="ＭＳ 明朝" w:cs="" w:eastAsiaTheme="minorEastAsia" w:cstheme="minorBidi"/>
          <w:b w:val="0"/>
          <w:bCs w:val="0"/>
          <w:color w:val="auto"/>
          <w:sz w:val="21"/>
          <w:szCs w:val="21"/>
        </w:rPr>
        <w:t xml:space="preserve"> entitled to </w:t>
      </w:r>
      <w:r w:rsidRPr="02D998F6" w:rsidR="41084C7F">
        <w:rPr>
          <w:rFonts w:eastAsia="ＭＳ 明朝" w:cs="" w:eastAsiaTheme="minorEastAsia" w:cstheme="minorBidi"/>
          <w:b w:val="0"/>
          <w:bCs w:val="0"/>
          <w:color w:val="auto"/>
          <w:sz w:val="21"/>
          <w:szCs w:val="21"/>
        </w:rPr>
        <w:t xml:space="preserve">become a </w:t>
      </w:r>
      <w:r w:rsidRPr="02D998F6" w:rsidR="24F97658">
        <w:rPr>
          <w:rFonts w:eastAsia="ＭＳ 明朝" w:cs="" w:eastAsiaTheme="minorEastAsia" w:cstheme="minorBidi"/>
          <w:b w:val="0"/>
          <w:bCs w:val="0"/>
          <w:color w:val="auto"/>
          <w:sz w:val="21"/>
          <w:szCs w:val="21"/>
        </w:rPr>
        <w:t>member of the Steering Committee</w:t>
      </w:r>
      <w:r w:rsidRPr="02D998F6" w:rsidR="6B0F9FD9">
        <w:rPr>
          <w:rFonts w:eastAsia="ＭＳ 明朝" w:cs="" w:eastAsiaTheme="minorEastAsia" w:cstheme="minorBidi"/>
          <w:b w:val="0"/>
          <w:bCs w:val="0"/>
          <w:color w:val="auto"/>
          <w:sz w:val="21"/>
          <w:szCs w:val="21"/>
        </w:rPr>
        <w:t xml:space="preserve">.  </w:t>
      </w:r>
      <w:r w:rsidRPr="02D998F6" w:rsidR="6B0F9FD9">
        <w:rPr>
          <w:rFonts w:eastAsia="ＭＳ 明朝" w:cs="" w:eastAsiaTheme="minorEastAsia" w:cstheme="minorBidi"/>
          <w:b w:val="0"/>
          <w:bCs w:val="0"/>
          <w:color w:val="auto"/>
          <w:sz w:val="21"/>
          <w:szCs w:val="21"/>
        </w:rPr>
        <w:t>Such Steering Committee membership</w:t>
      </w:r>
      <w:r w:rsidRPr="02D998F6" w:rsidR="24F97658">
        <w:rPr>
          <w:rFonts w:eastAsia="ＭＳ 明朝" w:cs="" w:eastAsiaTheme="minorEastAsia" w:cstheme="minorBidi"/>
          <w:b w:val="0"/>
          <w:bCs w:val="0"/>
          <w:color w:val="auto"/>
          <w:sz w:val="21"/>
          <w:szCs w:val="21"/>
        </w:rPr>
        <w:t xml:space="preserve"> </w:t>
      </w:r>
      <w:r w:rsidRPr="02D998F6" w:rsidR="6F3170BE">
        <w:rPr>
          <w:rFonts w:eastAsia="ＭＳ 明朝" w:cs="" w:eastAsiaTheme="minorEastAsia" w:cstheme="minorBidi"/>
          <w:b w:val="0"/>
          <w:bCs w:val="0"/>
          <w:color w:val="auto"/>
          <w:sz w:val="21"/>
          <w:szCs w:val="21"/>
        </w:rPr>
        <w:t>sha</w:t>
      </w:r>
      <w:r w:rsidRPr="02D998F6" w:rsidR="35EF4C96">
        <w:rPr>
          <w:rFonts w:eastAsia="ＭＳ 明朝" w:cs="" w:eastAsiaTheme="minorEastAsia" w:cstheme="minorBidi"/>
          <w:b w:val="0"/>
          <w:bCs w:val="0"/>
          <w:color w:val="auto"/>
          <w:sz w:val="21"/>
          <w:szCs w:val="21"/>
        </w:rPr>
        <w:t xml:space="preserve">ll run from the </w:t>
      </w:r>
      <w:r w:rsidRPr="02D998F6" w:rsidR="3859620E">
        <w:rPr>
          <w:rFonts w:eastAsia="ＭＳ 明朝" w:cs="" w:eastAsiaTheme="minorEastAsia" w:cstheme="minorBidi"/>
          <w:b w:val="0"/>
          <w:bCs w:val="0"/>
          <w:color w:val="auto"/>
          <w:sz w:val="21"/>
          <w:szCs w:val="21"/>
        </w:rPr>
        <w:t xml:space="preserve">date on </w:t>
      </w:r>
      <w:r w:rsidRPr="02D998F6" w:rsidR="35EF4C96">
        <w:rPr>
          <w:rFonts w:eastAsia="ＭＳ 明朝" w:cs="" w:eastAsiaTheme="minorEastAsia" w:cstheme="minorBidi"/>
          <w:b w:val="0"/>
          <w:bCs w:val="0"/>
          <w:color w:val="auto"/>
          <w:sz w:val="21"/>
          <w:szCs w:val="21"/>
        </w:rPr>
        <w:t xml:space="preserve">which </w:t>
      </w:r>
      <w:r w:rsidRPr="02D998F6" w:rsidR="6B0F9FD9">
        <w:rPr>
          <w:rFonts w:eastAsia="ＭＳ 明朝" w:cs="" w:eastAsiaTheme="minorEastAsia" w:cstheme="minorBidi"/>
          <w:b w:val="0"/>
          <w:bCs w:val="0"/>
          <w:color w:val="auto"/>
          <w:sz w:val="21"/>
          <w:szCs w:val="21"/>
        </w:rPr>
        <w:t>the WRP Donor’s</w:t>
      </w:r>
      <w:r w:rsidRPr="02D998F6" w:rsidR="24F97658">
        <w:rPr>
          <w:rFonts w:eastAsia="ＭＳ 明朝" w:cs="" w:eastAsiaTheme="minorEastAsia" w:cstheme="minorBidi"/>
          <w:b w:val="0"/>
          <w:bCs w:val="0"/>
          <w:color w:val="auto"/>
          <w:sz w:val="21"/>
          <w:szCs w:val="21"/>
        </w:rPr>
        <w:t xml:space="preserve"> funding instrument </w:t>
      </w:r>
      <w:r w:rsidRPr="02D998F6" w:rsidR="41084C7F">
        <w:rPr>
          <w:rFonts w:eastAsia="ＭＳ 明朝" w:cs="" w:eastAsiaTheme="minorEastAsia" w:cstheme="minorBidi"/>
          <w:b w:val="0"/>
          <w:bCs w:val="0"/>
          <w:color w:val="auto"/>
          <w:sz w:val="21"/>
          <w:szCs w:val="21"/>
        </w:rPr>
        <w:t xml:space="preserve">for </w:t>
      </w:r>
      <w:r w:rsidRPr="02D998F6" w:rsidR="6B0F9FD9">
        <w:rPr>
          <w:rFonts w:eastAsia="ＭＳ 明朝" w:cs="" w:eastAsiaTheme="minorEastAsia" w:cstheme="minorBidi"/>
          <w:b w:val="0"/>
          <w:bCs w:val="0"/>
          <w:color w:val="auto"/>
          <w:sz w:val="21"/>
          <w:szCs w:val="21"/>
        </w:rPr>
        <w:t>Pooled Funding</w:t>
      </w:r>
      <w:r w:rsidRPr="02D998F6" w:rsidR="41084C7F">
        <w:rPr>
          <w:rFonts w:eastAsia="ＭＳ 明朝" w:cs="" w:eastAsiaTheme="minorEastAsia" w:cstheme="minorBidi"/>
          <w:b w:val="0"/>
          <w:bCs w:val="0"/>
          <w:color w:val="auto"/>
          <w:sz w:val="21"/>
          <w:szCs w:val="21"/>
        </w:rPr>
        <w:t xml:space="preserve"> </w:t>
      </w:r>
      <w:r w:rsidRPr="02D998F6" w:rsidR="3859620E">
        <w:rPr>
          <w:rFonts w:eastAsia="ＭＳ 明朝" w:cs="" w:eastAsiaTheme="minorEastAsia" w:cstheme="minorBidi"/>
          <w:b w:val="0"/>
          <w:bCs w:val="0"/>
          <w:color w:val="auto"/>
          <w:sz w:val="21"/>
          <w:szCs w:val="21"/>
        </w:rPr>
        <w:t>becomes effective</w:t>
      </w:r>
      <w:r w:rsidRPr="02D998F6" w:rsidR="35EF4C96">
        <w:rPr>
          <w:rFonts w:eastAsia="ＭＳ 明朝" w:cs="" w:eastAsiaTheme="minorEastAsia" w:cstheme="minorBidi"/>
          <w:b w:val="0"/>
          <w:bCs w:val="0"/>
          <w:color w:val="auto"/>
          <w:sz w:val="21"/>
          <w:szCs w:val="21"/>
        </w:rPr>
        <w:t>.</w:t>
      </w:r>
      <w:r w:rsidRPr="02D998F6" w:rsidR="41084C7F">
        <w:rPr>
          <w:rFonts w:eastAsia="ＭＳ 明朝" w:cs="" w:eastAsiaTheme="minorEastAsia" w:cstheme="minorBidi"/>
          <w:b w:val="0"/>
          <w:bCs w:val="0"/>
          <w:color w:val="auto"/>
          <w:sz w:val="21"/>
          <w:szCs w:val="21"/>
        </w:rPr>
        <w:t xml:space="preserve"> Such WRP Donor’s membership of the Steering Committee shall end on the [second anniversary] of the expiry or termination of its funding instrument, unless such WRP Donor </w:t>
      </w:r>
      <w:r w:rsidRPr="02D998F6" w:rsidR="6B0F9FD9">
        <w:rPr>
          <w:rFonts w:eastAsia="ＭＳ 明朝" w:cs="" w:eastAsiaTheme="minorEastAsia" w:cstheme="minorBidi"/>
          <w:b w:val="0"/>
          <w:bCs w:val="0"/>
          <w:color w:val="auto"/>
          <w:sz w:val="21"/>
          <w:szCs w:val="21"/>
        </w:rPr>
        <w:t>steps down</w:t>
      </w:r>
      <w:r w:rsidRPr="02D998F6" w:rsidR="41084C7F">
        <w:rPr>
          <w:rFonts w:eastAsia="ＭＳ 明朝" w:cs="" w:eastAsiaTheme="minorEastAsia" w:cstheme="minorBidi"/>
          <w:b w:val="0"/>
          <w:bCs w:val="0"/>
          <w:color w:val="auto"/>
          <w:sz w:val="21"/>
          <w:szCs w:val="21"/>
        </w:rPr>
        <w:t xml:space="preserve"> from the Steering Committee</w:t>
      </w:r>
      <w:r w:rsidRPr="02D998F6" w:rsidR="6B0F9FD9">
        <w:rPr>
          <w:rFonts w:eastAsia="ＭＳ 明朝" w:cs="" w:eastAsiaTheme="minorEastAsia" w:cstheme="minorBidi"/>
          <w:b w:val="0"/>
          <w:bCs w:val="0"/>
          <w:color w:val="auto"/>
          <w:sz w:val="21"/>
          <w:szCs w:val="21"/>
        </w:rPr>
        <w:t xml:space="preserve"> before that date.</w:t>
      </w:r>
    </w:p>
    <w:p w:rsidRPr="00061BE2" w:rsidR="005C62C0" w:rsidP="02D998F6" w:rsidRDefault="005C62C0" w14:paraId="68369463" w14:textId="7F392EFF">
      <w:pPr>
        <w:pStyle w:val="WRPArticle"/>
        <w:spacing w:after="0" w:line="240" w:lineRule="auto"/>
        <w:jc w:val="both"/>
        <w:rPr>
          <w:rFonts w:eastAsia="ＭＳ 明朝" w:cs="" w:eastAsiaTheme="minorEastAsia" w:cstheme="minorBidi"/>
          <w:b w:val="0"/>
          <w:bCs w:val="0"/>
          <w:color w:val="auto"/>
          <w:sz w:val="21"/>
          <w:szCs w:val="21"/>
        </w:rPr>
      </w:pPr>
      <w:r w:rsidRPr="02D998F6" w:rsidR="35EF4C96">
        <w:rPr>
          <w:rFonts w:eastAsia="ＭＳ 明朝" w:cs="" w:eastAsiaTheme="minorEastAsia" w:cstheme="minorBidi"/>
          <w:b w:val="0"/>
          <w:bCs w:val="0"/>
          <w:color w:val="auto"/>
          <w:sz w:val="21"/>
          <w:szCs w:val="21"/>
        </w:rPr>
        <w:t xml:space="preserve"> </w:t>
      </w:r>
      <w:r w:rsidRPr="02D998F6" w:rsidR="3859620E">
        <w:rPr>
          <w:rFonts w:eastAsia="ＭＳ 明朝" w:cs="" w:eastAsiaTheme="minorEastAsia" w:cstheme="minorBidi"/>
          <w:b w:val="0"/>
          <w:bCs w:val="0"/>
          <w:color w:val="auto"/>
          <w:sz w:val="21"/>
          <w:szCs w:val="21"/>
        </w:rPr>
        <w:t xml:space="preserve">The Steering Committee </w:t>
      </w:r>
      <w:r w:rsidRPr="02D998F6" w:rsidR="35EF4C96">
        <w:rPr>
          <w:rFonts w:eastAsia="ＭＳ 明朝" w:cs="" w:eastAsiaTheme="minorEastAsia" w:cstheme="minorBidi"/>
          <w:b w:val="0"/>
          <w:bCs w:val="0"/>
          <w:color w:val="auto"/>
          <w:sz w:val="21"/>
          <w:szCs w:val="21"/>
        </w:rPr>
        <w:t>may exceptionally</w:t>
      </w:r>
      <w:r w:rsidRPr="02D998F6" w:rsidR="328AC16B">
        <w:rPr>
          <w:rFonts w:eastAsia="ＭＳ 明朝" w:cs="" w:eastAsiaTheme="minorEastAsia" w:cstheme="minorBidi"/>
          <w:b w:val="0"/>
          <w:bCs w:val="0"/>
          <w:color w:val="auto"/>
          <w:sz w:val="21"/>
          <w:szCs w:val="21"/>
        </w:rPr>
        <w:t xml:space="preserve"> </w:t>
      </w:r>
      <w:r w:rsidRPr="02D998F6" w:rsidR="7C930937">
        <w:rPr>
          <w:rFonts w:eastAsia="ＭＳ 明朝" w:cs="" w:eastAsiaTheme="minorEastAsia" w:cstheme="minorBidi"/>
          <w:b w:val="0"/>
          <w:bCs w:val="0"/>
          <w:color w:val="auto"/>
          <w:sz w:val="21"/>
          <w:szCs w:val="21"/>
        </w:rPr>
        <w:t>approve</w:t>
      </w:r>
      <w:r w:rsidRPr="02D998F6" w:rsidR="35EF4C96">
        <w:rPr>
          <w:rFonts w:eastAsia="ＭＳ 明朝" w:cs="" w:eastAsiaTheme="minorEastAsia" w:cstheme="minorBidi"/>
          <w:b w:val="0"/>
          <w:bCs w:val="0"/>
          <w:color w:val="auto"/>
          <w:sz w:val="21"/>
          <w:szCs w:val="21"/>
        </w:rPr>
        <w:t xml:space="preserve"> a</w:t>
      </w:r>
      <w:r w:rsidRPr="02D998F6" w:rsidR="3859620E">
        <w:rPr>
          <w:rFonts w:eastAsia="ＭＳ 明朝" w:cs="" w:eastAsiaTheme="minorEastAsia" w:cstheme="minorBidi"/>
          <w:b w:val="0"/>
          <w:bCs w:val="0"/>
          <w:color w:val="auto"/>
          <w:sz w:val="21"/>
          <w:szCs w:val="21"/>
        </w:rPr>
        <w:t xml:space="preserve"> </w:t>
      </w:r>
      <w:r w:rsidRPr="02D998F6" w:rsidR="604B6357">
        <w:rPr>
          <w:rFonts w:eastAsia="ＭＳ 明朝" w:cs="" w:eastAsiaTheme="minorEastAsia" w:cstheme="minorBidi"/>
          <w:b w:val="0"/>
          <w:bCs w:val="0"/>
          <w:color w:val="auto"/>
          <w:sz w:val="21"/>
          <w:szCs w:val="21"/>
        </w:rPr>
        <w:t>WRP D</w:t>
      </w:r>
      <w:r w:rsidRPr="02D998F6" w:rsidR="6F3170BE">
        <w:rPr>
          <w:rFonts w:eastAsia="ＭＳ 明朝" w:cs="" w:eastAsiaTheme="minorEastAsia" w:cstheme="minorBidi"/>
          <w:b w:val="0"/>
          <w:bCs w:val="0"/>
          <w:color w:val="auto"/>
          <w:sz w:val="21"/>
          <w:szCs w:val="21"/>
        </w:rPr>
        <w:t xml:space="preserve">onor </w:t>
      </w:r>
      <w:r w:rsidRPr="02D998F6" w:rsidR="6B0F9FD9">
        <w:rPr>
          <w:rFonts w:eastAsia="ＭＳ 明朝" w:cs="" w:eastAsiaTheme="minorEastAsia" w:cstheme="minorBidi"/>
          <w:b w:val="0"/>
          <w:bCs w:val="0"/>
          <w:color w:val="auto"/>
          <w:sz w:val="21"/>
          <w:szCs w:val="21"/>
        </w:rPr>
        <w:t xml:space="preserve">that provides Pooled Funding </w:t>
      </w:r>
      <w:r w:rsidRPr="02D998F6" w:rsidR="35EF4C96">
        <w:rPr>
          <w:rFonts w:eastAsia="ＭＳ 明朝" w:cs="" w:eastAsiaTheme="minorEastAsia" w:cstheme="minorBidi"/>
          <w:b w:val="0"/>
          <w:bCs w:val="0"/>
          <w:color w:val="auto"/>
          <w:sz w:val="21"/>
          <w:szCs w:val="21"/>
        </w:rPr>
        <w:t>with an aggregate value below USD</w:t>
      </w:r>
      <w:r w:rsidRPr="02D998F6" w:rsidR="6B0F9FD9">
        <w:rPr>
          <w:rFonts w:eastAsia="ＭＳ 明朝" w:cs="" w:eastAsiaTheme="minorEastAsia" w:cstheme="minorBidi"/>
          <w:b w:val="0"/>
          <w:bCs w:val="0"/>
          <w:color w:val="auto"/>
          <w:sz w:val="21"/>
          <w:szCs w:val="21"/>
        </w:rPr>
        <w:t xml:space="preserve"> 5</w:t>
      </w:r>
      <w:r w:rsidRPr="02D998F6" w:rsidR="15B6A10A">
        <w:rPr>
          <w:rFonts w:eastAsia="ＭＳ 明朝" w:cs="" w:eastAsiaTheme="minorEastAsia" w:cstheme="minorBidi"/>
          <w:b w:val="0"/>
          <w:bCs w:val="0"/>
          <w:color w:val="auto"/>
          <w:sz w:val="21"/>
          <w:szCs w:val="21"/>
        </w:rPr>
        <w:t>00</w:t>
      </w:r>
      <w:r w:rsidRPr="02D998F6" w:rsidR="6B0F9FD9">
        <w:rPr>
          <w:rFonts w:eastAsia="ＭＳ 明朝" w:cs="" w:eastAsiaTheme="minorEastAsia" w:cstheme="minorBidi"/>
          <w:b w:val="0"/>
          <w:bCs w:val="0"/>
          <w:color w:val="auto"/>
          <w:sz w:val="21"/>
          <w:szCs w:val="21"/>
        </w:rPr>
        <w:t>,000 (</w:t>
      </w:r>
      <w:r w:rsidRPr="02D998F6" w:rsidR="15B6A10A">
        <w:rPr>
          <w:rFonts w:eastAsia="ＭＳ 明朝" w:cs="" w:eastAsiaTheme="minorEastAsia" w:cstheme="minorBidi"/>
          <w:b w:val="0"/>
          <w:bCs w:val="0"/>
          <w:color w:val="auto"/>
          <w:sz w:val="21"/>
          <w:szCs w:val="21"/>
        </w:rPr>
        <w:t>five</w:t>
      </w:r>
      <w:r w:rsidRPr="02D998F6" w:rsidR="7987B723">
        <w:rPr>
          <w:rFonts w:eastAsia="ＭＳ 明朝" w:cs="" w:eastAsiaTheme="minorEastAsia" w:cstheme="minorBidi"/>
          <w:b w:val="0"/>
          <w:bCs w:val="0"/>
          <w:color w:val="auto"/>
          <w:sz w:val="21"/>
          <w:szCs w:val="21"/>
        </w:rPr>
        <w:t xml:space="preserve"> </w:t>
      </w:r>
      <w:r w:rsidRPr="02D998F6" w:rsidR="15B6A10A">
        <w:rPr>
          <w:rFonts w:eastAsia="ＭＳ 明朝" w:cs="" w:eastAsiaTheme="minorEastAsia" w:cstheme="minorBidi"/>
          <w:b w:val="0"/>
          <w:bCs w:val="0"/>
          <w:color w:val="auto"/>
          <w:sz w:val="21"/>
          <w:szCs w:val="21"/>
        </w:rPr>
        <w:t xml:space="preserve">hundred thousand </w:t>
      </w:r>
      <w:r w:rsidRPr="02D998F6" w:rsidR="7987B723">
        <w:rPr>
          <w:rFonts w:eastAsia="ＭＳ 明朝" w:cs="" w:eastAsiaTheme="minorEastAsia" w:cstheme="minorBidi"/>
          <w:b w:val="0"/>
          <w:bCs w:val="0"/>
          <w:color w:val="auto"/>
          <w:sz w:val="21"/>
          <w:szCs w:val="21"/>
        </w:rPr>
        <w:t>United States dollars</w:t>
      </w:r>
      <w:r w:rsidRPr="02D998F6" w:rsidR="6B0F9FD9">
        <w:rPr>
          <w:rFonts w:eastAsia="ＭＳ 明朝" w:cs="" w:eastAsiaTheme="minorEastAsia" w:cstheme="minorBidi"/>
          <w:b w:val="0"/>
          <w:bCs w:val="0"/>
          <w:color w:val="auto"/>
          <w:sz w:val="21"/>
          <w:szCs w:val="21"/>
        </w:rPr>
        <w:t>)</w:t>
      </w:r>
      <w:r w:rsidRPr="02D998F6" w:rsidR="7987B723">
        <w:rPr>
          <w:rFonts w:eastAsia="ＭＳ 明朝" w:cs="" w:eastAsiaTheme="minorEastAsia" w:cstheme="minorBidi"/>
          <w:b w:val="0"/>
          <w:bCs w:val="0"/>
          <w:color w:val="auto"/>
          <w:sz w:val="21"/>
          <w:szCs w:val="21"/>
        </w:rPr>
        <w:t xml:space="preserve"> becoming a member of the Steering Committee.  Such WRP Donor’s Steering</w:t>
      </w:r>
      <w:r w:rsidR="7987B723">
        <w:rPr/>
        <w:t xml:space="preserve"> </w:t>
      </w:r>
      <w:r w:rsidRPr="02D998F6" w:rsidR="7987B723">
        <w:rPr>
          <w:rFonts w:eastAsia="ＭＳ 明朝" w:cs="" w:eastAsiaTheme="minorEastAsia" w:cstheme="minorBidi"/>
          <w:b w:val="0"/>
          <w:bCs w:val="0"/>
          <w:color w:val="auto"/>
          <w:sz w:val="21"/>
          <w:szCs w:val="21"/>
        </w:rPr>
        <w:t>Committee membership shall run from the date on which the WRP Donor’s funding instrument for Pooled Funding becomes effective. Such WRP Donor’s membership of the Steering Committee shall end on the [second anniversary] of the expiry or termination of its funding instrument, unless such WRP Donor steps down from the Steering Committee before that date</w:t>
      </w:r>
      <w:r w:rsidRPr="02D998F6" w:rsidR="7987B723">
        <w:rPr>
          <w:rFonts w:eastAsia="ＭＳ 明朝" w:cs="" w:eastAsiaTheme="minorEastAsia" w:cstheme="minorBidi"/>
          <w:b w:val="0"/>
          <w:bCs w:val="0"/>
          <w:color w:val="auto"/>
          <w:sz w:val="21"/>
          <w:szCs w:val="21"/>
        </w:rPr>
        <w:t>)</w:t>
      </w:r>
      <w:r w:rsidRPr="02D998F6" w:rsidR="35EF4C96">
        <w:rPr>
          <w:rFonts w:eastAsia="ＭＳ 明朝" w:cs="" w:eastAsiaTheme="minorEastAsia" w:cstheme="minorBidi"/>
          <w:b w:val="0"/>
          <w:bCs w:val="0"/>
          <w:color w:val="auto"/>
          <w:sz w:val="21"/>
          <w:szCs w:val="21"/>
        </w:rPr>
        <w:t>.</w:t>
      </w:r>
    </w:p>
    <w:p w:rsidR="003B4F53" w:rsidP="009E4019" w:rsidRDefault="003B4F53" w14:paraId="06B99E1D" w14:textId="503E163F">
      <w:pPr>
        <w:pStyle w:val="WRPArticle"/>
        <w:spacing w:after="0" w:line="240" w:lineRule="auto"/>
        <w:jc w:val="both"/>
        <w:rPr>
          <w:rFonts w:eastAsiaTheme="minorEastAsia" w:cstheme="minorBidi"/>
          <w:b w:val="0"/>
          <w:bCs w:val="0"/>
          <w:color w:val="auto"/>
          <w:sz w:val="21"/>
          <w:szCs w:val="22"/>
        </w:rPr>
      </w:pPr>
      <w:r>
        <w:rPr>
          <w:rFonts w:eastAsiaTheme="minorEastAsia" w:cstheme="minorBidi"/>
          <w:b w:val="0"/>
          <w:bCs w:val="0"/>
          <w:color w:val="auto"/>
          <w:sz w:val="21"/>
          <w:szCs w:val="22"/>
        </w:rPr>
        <w:t xml:space="preserve">A WRP Donor providing </w:t>
      </w:r>
      <w:r w:rsidR="00937CE8">
        <w:rPr>
          <w:rFonts w:eastAsiaTheme="minorEastAsia" w:cstheme="minorBidi"/>
          <w:b w:val="0"/>
          <w:bCs w:val="0"/>
          <w:color w:val="auto"/>
          <w:sz w:val="21"/>
          <w:szCs w:val="22"/>
        </w:rPr>
        <w:t xml:space="preserve">Ringfenced Funding with an aggregate value of </w:t>
      </w:r>
      <w:r>
        <w:rPr>
          <w:rFonts w:eastAsiaTheme="minorEastAsia" w:cstheme="minorBidi"/>
          <w:b w:val="0"/>
          <w:bCs w:val="0"/>
          <w:color w:val="auto"/>
          <w:sz w:val="21"/>
          <w:szCs w:val="22"/>
        </w:rPr>
        <w:t xml:space="preserve">USD 500,000 (five hundred thousand United States dollars) </w:t>
      </w:r>
      <w:r w:rsidR="00937CE8">
        <w:rPr>
          <w:rFonts w:eastAsiaTheme="minorEastAsia" w:cstheme="minorBidi"/>
          <w:b w:val="0"/>
          <w:bCs w:val="0"/>
          <w:color w:val="auto"/>
          <w:sz w:val="21"/>
          <w:szCs w:val="22"/>
        </w:rPr>
        <w:t>or more s</w:t>
      </w:r>
      <w:r>
        <w:rPr>
          <w:rFonts w:eastAsiaTheme="minorEastAsia" w:cstheme="minorBidi"/>
          <w:b w:val="0"/>
          <w:bCs w:val="0"/>
          <w:color w:val="auto"/>
          <w:sz w:val="21"/>
          <w:szCs w:val="22"/>
        </w:rPr>
        <w:t>hall be</w:t>
      </w:r>
      <w:r w:rsidRPr="003B4F53">
        <w:rPr>
          <w:rFonts w:eastAsiaTheme="minorEastAsia" w:cstheme="minorBidi"/>
          <w:b w:val="0"/>
          <w:bCs w:val="0"/>
          <w:color w:val="auto"/>
          <w:sz w:val="21"/>
          <w:szCs w:val="22"/>
        </w:rPr>
        <w:t xml:space="preserve"> entitled to become a </w:t>
      </w:r>
      <w:r>
        <w:rPr>
          <w:rFonts w:eastAsiaTheme="minorEastAsia" w:cstheme="minorBidi"/>
          <w:b w:val="0"/>
          <w:bCs w:val="0"/>
          <w:color w:val="auto"/>
          <w:sz w:val="21"/>
          <w:szCs w:val="22"/>
        </w:rPr>
        <w:t>m</w:t>
      </w:r>
      <w:r w:rsidRPr="003B4F53">
        <w:rPr>
          <w:rFonts w:eastAsiaTheme="minorEastAsia" w:cstheme="minorBidi"/>
          <w:b w:val="0"/>
          <w:bCs w:val="0"/>
          <w:color w:val="auto"/>
          <w:sz w:val="21"/>
          <w:szCs w:val="22"/>
        </w:rPr>
        <w:t xml:space="preserve">ember of the Steering Committee.  Such Steering Committee membership shall run from the date on which the WRP Donor’s funding instrument for </w:t>
      </w:r>
      <w:r>
        <w:rPr>
          <w:rFonts w:eastAsiaTheme="minorEastAsia" w:cstheme="minorBidi"/>
          <w:b w:val="0"/>
          <w:bCs w:val="0"/>
          <w:color w:val="auto"/>
          <w:sz w:val="21"/>
          <w:szCs w:val="22"/>
        </w:rPr>
        <w:t xml:space="preserve">Ringfenced </w:t>
      </w:r>
      <w:r w:rsidRPr="003B4F53">
        <w:rPr>
          <w:rFonts w:eastAsiaTheme="minorEastAsia" w:cstheme="minorBidi"/>
          <w:b w:val="0"/>
          <w:bCs w:val="0"/>
          <w:color w:val="auto"/>
          <w:sz w:val="21"/>
          <w:szCs w:val="22"/>
        </w:rPr>
        <w:t>Funding becomes effective. Such WRP Donor’s membership of the Steering Committee shall end on the expiry or termination of its funding instrument, unless such WRP Donor steps down from the Steering Committee before that date.</w:t>
      </w:r>
    </w:p>
    <w:p w:rsidR="003B4F53" w:rsidP="009E4019" w:rsidRDefault="003B4F53" w14:paraId="6890EA3D" w14:textId="3B2543DB">
      <w:pPr>
        <w:pStyle w:val="WRPArticle"/>
        <w:spacing w:after="0" w:line="240" w:lineRule="auto"/>
        <w:jc w:val="both"/>
        <w:rPr>
          <w:rFonts w:eastAsiaTheme="minorEastAsia" w:cstheme="minorBidi"/>
          <w:b w:val="0"/>
          <w:bCs w:val="0"/>
          <w:color w:val="auto"/>
          <w:sz w:val="21"/>
          <w:szCs w:val="22"/>
        </w:rPr>
      </w:pPr>
      <w:r>
        <w:rPr>
          <w:rFonts w:eastAsiaTheme="minorEastAsia" w:cstheme="minorBidi"/>
          <w:b w:val="0"/>
          <w:bCs w:val="0"/>
          <w:color w:val="auto"/>
          <w:sz w:val="21"/>
          <w:szCs w:val="22"/>
        </w:rPr>
        <w:t>A WRP Donor providing Ringfenced Funding with an aggregate value below USD 500,000 (five hundred thousand United States dollars) shall be entitled to participate in meetings of the Steering Committee as an Observer</w:t>
      </w:r>
      <w:r w:rsidR="00937CE8">
        <w:rPr>
          <w:rFonts w:eastAsiaTheme="minorEastAsia" w:cstheme="minorBidi"/>
          <w:b w:val="0"/>
          <w:bCs w:val="0"/>
          <w:color w:val="auto"/>
          <w:sz w:val="21"/>
          <w:szCs w:val="22"/>
        </w:rPr>
        <w:t>. Such WRP Donor shall not have any voting rights in relation to decisions of the Steering Committee, except in relation to decisions relating to the WRP activities that its Ringfenced Funding is being used for.  Such decision</w:t>
      </w:r>
      <w:r w:rsidR="00CA1CEF">
        <w:rPr>
          <w:rFonts w:eastAsiaTheme="minorEastAsia" w:cstheme="minorBidi"/>
          <w:b w:val="0"/>
          <w:bCs w:val="0"/>
          <w:color w:val="auto"/>
          <w:sz w:val="21"/>
          <w:szCs w:val="22"/>
        </w:rPr>
        <w:t>-</w:t>
      </w:r>
      <w:r w:rsidR="00937CE8">
        <w:rPr>
          <w:rFonts w:eastAsiaTheme="minorEastAsia" w:cstheme="minorBidi"/>
          <w:b w:val="0"/>
          <w:bCs w:val="0"/>
          <w:color w:val="auto"/>
          <w:sz w:val="21"/>
          <w:szCs w:val="22"/>
        </w:rPr>
        <w:t xml:space="preserve">making authority </w:t>
      </w:r>
      <w:r w:rsidR="00CA1CEF">
        <w:rPr>
          <w:rFonts w:eastAsiaTheme="minorEastAsia" w:cstheme="minorBidi"/>
          <w:b w:val="0"/>
          <w:bCs w:val="0"/>
          <w:color w:val="auto"/>
          <w:sz w:val="21"/>
          <w:szCs w:val="22"/>
        </w:rPr>
        <w:t>shall</w:t>
      </w:r>
      <w:r w:rsidR="00937CE8">
        <w:rPr>
          <w:rFonts w:eastAsiaTheme="minorEastAsia" w:cstheme="minorBidi"/>
          <w:b w:val="0"/>
          <w:bCs w:val="0"/>
          <w:color w:val="auto"/>
          <w:sz w:val="21"/>
          <w:szCs w:val="22"/>
        </w:rPr>
        <w:t xml:space="preserve"> end on the expiry or termination of </w:t>
      </w:r>
      <w:r w:rsidR="00CA1CEF">
        <w:rPr>
          <w:rFonts w:eastAsiaTheme="minorEastAsia" w:cstheme="minorBidi"/>
          <w:b w:val="0"/>
          <w:bCs w:val="0"/>
          <w:color w:val="auto"/>
          <w:sz w:val="21"/>
          <w:szCs w:val="22"/>
        </w:rPr>
        <w:t>such WRP Donor’s</w:t>
      </w:r>
      <w:r w:rsidR="00937CE8">
        <w:rPr>
          <w:rFonts w:eastAsiaTheme="minorEastAsia" w:cstheme="minorBidi"/>
          <w:b w:val="0"/>
          <w:bCs w:val="0"/>
          <w:color w:val="auto"/>
          <w:sz w:val="21"/>
          <w:szCs w:val="22"/>
        </w:rPr>
        <w:t xml:space="preserve"> funding instrument.</w:t>
      </w:r>
    </w:p>
    <w:p w:rsidR="003B4D47" w:rsidP="009E4019" w:rsidRDefault="00937CE8" w14:paraId="20732741" w14:textId="3EED830D">
      <w:pPr>
        <w:pStyle w:val="WRPArticle"/>
        <w:spacing w:after="0" w:line="240" w:lineRule="auto"/>
        <w:jc w:val="both"/>
        <w:rPr>
          <w:rFonts w:eastAsiaTheme="minorEastAsia" w:cstheme="minorBidi"/>
          <w:b w:val="0"/>
          <w:bCs w:val="0"/>
          <w:color w:val="auto"/>
          <w:sz w:val="21"/>
          <w:szCs w:val="22"/>
        </w:rPr>
      </w:pPr>
      <w:r w:rsidRPr="00937CE8">
        <w:rPr>
          <w:rFonts w:eastAsiaTheme="minorEastAsia" w:cstheme="minorBidi"/>
          <w:b w:val="0"/>
          <w:bCs w:val="0"/>
          <w:color w:val="auto"/>
          <w:sz w:val="21"/>
          <w:szCs w:val="22"/>
        </w:rPr>
        <w:t xml:space="preserve">The Steering Committee may approve a WRP Donor that provides </w:t>
      </w:r>
      <w:r>
        <w:rPr>
          <w:rFonts w:eastAsiaTheme="minorEastAsia" w:cstheme="minorBidi"/>
          <w:b w:val="0"/>
          <w:bCs w:val="0"/>
          <w:color w:val="auto"/>
          <w:sz w:val="21"/>
          <w:szCs w:val="22"/>
        </w:rPr>
        <w:t xml:space="preserve">Other Support </w:t>
      </w:r>
      <w:r w:rsidRPr="00937CE8">
        <w:rPr>
          <w:rFonts w:eastAsiaTheme="minorEastAsia" w:cstheme="minorBidi"/>
          <w:b w:val="0"/>
          <w:bCs w:val="0"/>
          <w:color w:val="auto"/>
          <w:sz w:val="21"/>
          <w:szCs w:val="22"/>
        </w:rPr>
        <w:t>becoming a member of the Steering Committee.  Such WRP Donor’s Steering Committee membership shall run from the date on which the WRP Donor’s funding instrument</w:t>
      </w:r>
      <w:r>
        <w:rPr>
          <w:rFonts w:eastAsiaTheme="minorEastAsia" w:cstheme="minorBidi"/>
          <w:b w:val="0"/>
          <w:bCs w:val="0"/>
          <w:color w:val="auto"/>
          <w:sz w:val="21"/>
          <w:szCs w:val="22"/>
        </w:rPr>
        <w:t xml:space="preserve"> or equivalent </w:t>
      </w:r>
      <w:r w:rsidR="00CA1CEF">
        <w:rPr>
          <w:rFonts w:eastAsiaTheme="minorEastAsia" w:cstheme="minorBidi"/>
          <w:b w:val="0"/>
          <w:bCs w:val="0"/>
          <w:color w:val="auto"/>
          <w:sz w:val="21"/>
          <w:szCs w:val="22"/>
        </w:rPr>
        <w:t xml:space="preserve">agreement </w:t>
      </w:r>
      <w:r w:rsidRPr="00937CE8">
        <w:rPr>
          <w:rFonts w:eastAsiaTheme="minorEastAsia" w:cstheme="minorBidi"/>
          <w:b w:val="0"/>
          <w:bCs w:val="0"/>
          <w:color w:val="auto"/>
          <w:sz w:val="21"/>
          <w:szCs w:val="22"/>
        </w:rPr>
        <w:t xml:space="preserve">for </w:t>
      </w:r>
      <w:r>
        <w:rPr>
          <w:rFonts w:eastAsiaTheme="minorEastAsia" w:cstheme="minorBidi"/>
          <w:b w:val="0"/>
          <w:bCs w:val="0"/>
          <w:color w:val="auto"/>
          <w:sz w:val="21"/>
          <w:szCs w:val="22"/>
        </w:rPr>
        <w:t>Other Support</w:t>
      </w:r>
      <w:r w:rsidRPr="00937CE8">
        <w:rPr>
          <w:rFonts w:eastAsiaTheme="minorEastAsia" w:cstheme="minorBidi"/>
          <w:b w:val="0"/>
          <w:bCs w:val="0"/>
          <w:color w:val="auto"/>
          <w:sz w:val="21"/>
          <w:szCs w:val="22"/>
        </w:rPr>
        <w:t xml:space="preserve"> becomes effective. Such WRP Donor’s membership of the Steering Committee shall end on the </w:t>
      </w:r>
      <w:r>
        <w:rPr>
          <w:rFonts w:eastAsiaTheme="minorEastAsia" w:cstheme="minorBidi"/>
          <w:b w:val="0"/>
          <w:bCs w:val="0"/>
          <w:color w:val="auto"/>
          <w:sz w:val="21"/>
          <w:szCs w:val="22"/>
        </w:rPr>
        <w:t>e</w:t>
      </w:r>
      <w:r w:rsidRPr="00937CE8">
        <w:rPr>
          <w:rFonts w:eastAsiaTheme="minorEastAsia" w:cstheme="minorBidi"/>
          <w:b w:val="0"/>
          <w:bCs w:val="0"/>
          <w:color w:val="auto"/>
          <w:sz w:val="21"/>
          <w:szCs w:val="22"/>
        </w:rPr>
        <w:t>xpiry or termination of its funding instrument</w:t>
      </w:r>
      <w:r w:rsidR="00CA1CEF">
        <w:rPr>
          <w:rFonts w:eastAsiaTheme="minorEastAsia" w:cstheme="minorBidi"/>
          <w:b w:val="0"/>
          <w:bCs w:val="0"/>
          <w:color w:val="auto"/>
          <w:sz w:val="21"/>
          <w:szCs w:val="22"/>
        </w:rPr>
        <w:t xml:space="preserve"> or equivalent agreement</w:t>
      </w:r>
      <w:r w:rsidRPr="00937CE8">
        <w:rPr>
          <w:rFonts w:eastAsiaTheme="minorEastAsia" w:cstheme="minorBidi"/>
          <w:b w:val="0"/>
          <w:bCs w:val="0"/>
          <w:color w:val="auto"/>
          <w:sz w:val="21"/>
          <w:szCs w:val="22"/>
        </w:rPr>
        <w:t>, unless such WRP Donor steps down from the Steering Committee before that date.</w:t>
      </w:r>
    </w:p>
    <w:p w:rsidRPr="00061BE2" w:rsidR="00937CE8" w:rsidP="009E4019" w:rsidRDefault="00937CE8" w14:paraId="57B98DA0" w14:textId="1F960D27">
      <w:pPr>
        <w:pStyle w:val="WRPArticle"/>
        <w:spacing w:after="0" w:line="240" w:lineRule="auto"/>
        <w:jc w:val="both"/>
        <w:rPr>
          <w:rFonts w:eastAsiaTheme="minorEastAsia" w:cstheme="minorBidi"/>
          <w:b w:val="0"/>
          <w:bCs w:val="0"/>
          <w:color w:val="auto"/>
          <w:sz w:val="21"/>
          <w:szCs w:val="22"/>
        </w:rPr>
      </w:pPr>
      <w:r>
        <w:rPr>
          <w:rFonts w:eastAsiaTheme="minorEastAsia" w:cstheme="minorBidi"/>
          <w:b w:val="0"/>
          <w:bCs w:val="0"/>
          <w:color w:val="auto"/>
          <w:sz w:val="21"/>
          <w:szCs w:val="22"/>
        </w:rPr>
        <w:t>The Steering Committee may</w:t>
      </w:r>
      <w:r w:rsidR="00F41DB8">
        <w:rPr>
          <w:rFonts w:eastAsiaTheme="minorEastAsia" w:cstheme="minorBidi"/>
          <w:b w:val="0"/>
          <w:bCs w:val="0"/>
          <w:color w:val="auto"/>
          <w:sz w:val="21"/>
          <w:szCs w:val="22"/>
        </w:rPr>
        <w:t xml:space="preserve"> </w:t>
      </w:r>
      <w:r>
        <w:rPr>
          <w:rFonts w:eastAsiaTheme="minorEastAsia" w:cstheme="minorBidi"/>
          <w:b w:val="0"/>
          <w:bCs w:val="0"/>
          <w:color w:val="auto"/>
          <w:sz w:val="21"/>
          <w:szCs w:val="22"/>
        </w:rPr>
        <w:t xml:space="preserve">agree to extend the Steering Committee membership of any WRP Donor </w:t>
      </w:r>
      <w:r w:rsidR="007639F0">
        <w:rPr>
          <w:rFonts w:eastAsiaTheme="minorEastAsia" w:cstheme="minorBidi"/>
          <w:b w:val="0"/>
          <w:bCs w:val="0"/>
          <w:color w:val="auto"/>
          <w:sz w:val="21"/>
          <w:szCs w:val="22"/>
        </w:rPr>
        <w:t xml:space="preserve">beyond the periods set out in this Charter. </w:t>
      </w:r>
    </w:p>
    <w:p w:rsidRPr="00061BE2" w:rsidR="00CB0A62" w:rsidP="00CB0A62" w:rsidRDefault="00CB0A62" w14:paraId="5BFE28DC" w14:textId="77777777">
      <w:pPr>
        <w:spacing w:after="0" w:line="240" w:lineRule="auto"/>
        <w:jc w:val="both"/>
      </w:pPr>
    </w:p>
    <w:p w:rsidRPr="00061BE2" w:rsidR="00CB0A62" w:rsidP="00CB0A62" w:rsidRDefault="00CB0A62" w14:paraId="60656D3B" w14:textId="1F91FD32">
      <w:pPr>
        <w:spacing w:after="0" w:line="240" w:lineRule="auto"/>
        <w:jc w:val="both"/>
      </w:pPr>
      <w:r w:rsidRPr="00061BE2">
        <w:t>The Donor Committee serves as an information-sharing and coordination forum for WRP Donors, but is not a decision-making body.</w:t>
      </w:r>
    </w:p>
    <w:p w:rsidR="003A0A95" w:rsidP="000A7C59" w:rsidRDefault="003A0A95" w14:paraId="30956632" w14:textId="77777777">
      <w:pPr>
        <w:pStyle w:val="WRPArticle"/>
        <w:spacing w:before="0" w:after="0" w:line="240" w:lineRule="auto"/>
        <w:jc w:val="both"/>
      </w:pPr>
    </w:p>
    <w:p w:rsidR="0037504C" w:rsidP="000A7C59" w:rsidRDefault="003A0A95" w14:paraId="5C79B8C4" w14:textId="5A83549A">
      <w:pPr>
        <w:pStyle w:val="WRPArticle"/>
        <w:spacing w:before="0" w:after="0" w:line="240" w:lineRule="auto"/>
        <w:jc w:val="both"/>
      </w:pPr>
      <w:r>
        <w:t>Article 1</w:t>
      </w:r>
      <w:r w:rsidR="007639F0">
        <w:t>0</w:t>
      </w:r>
      <w:r>
        <w:t xml:space="preserve"> - </w:t>
      </w:r>
      <w:r w:rsidR="00A25540">
        <w:t>Establishment of the WRP Pooled Fund</w:t>
      </w:r>
    </w:p>
    <w:p w:rsidR="000A7C59" w:rsidP="000A7C59" w:rsidRDefault="000A7C59" w14:paraId="75D78F87" w14:textId="77777777">
      <w:pPr>
        <w:spacing w:after="0" w:line="240" w:lineRule="auto"/>
        <w:jc w:val="both"/>
      </w:pPr>
    </w:p>
    <w:p w:rsidR="0037504C" w:rsidP="000A7C59" w:rsidRDefault="00A25540" w14:paraId="44B23070" w14:textId="647B3DF6">
      <w:pPr>
        <w:spacing w:after="0" w:line="240" w:lineRule="auto"/>
        <w:jc w:val="both"/>
      </w:pPr>
      <w:r>
        <w:t xml:space="preserve">The WRP Pooled Fund </w:t>
      </w:r>
      <w:r w:rsidR="00994505">
        <w:t>shall be</w:t>
      </w:r>
      <w:r>
        <w:t xml:space="preserve"> established as the </w:t>
      </w:r>
      <w:r w:rsidR="001E19F6">
        <w:t xml:space="preserve">default </w:t>
      </w:r>
      <w:r>
        <w:t xml:space="preserve">financing mechanism </w:t>
      </w:r>
      <w:r w:rsidR="0087605F">
        <w:t>for WRP activities</w:t>
      </w:r>
      <w:r w:rsidR="003947CA">
        <w:t xml:space="preserve">. </w:t>
      </w:r>
    </w:p>
    <w:p w:rsidR="000A7C59" w:rsidP="000A7C59" w:rsidRDefault="000A7C59" w14:paraId="40C59852" w14:textId="77777777">
      <w:pPr>
        <w:spacing w:after="0" w:line="240" w:lineRule="auto"/>
        <w:jc w:val="both"/>
      </w:pPr>
    </w:p>
    <w:p w:rsidR="00DE35F3" w:rsidP="000A7C59" w:rsidRDefault="00501C82" w14:paraId="3FCC98FA" w14:textId="7B40F773">
      <w:pPr>
        <w:spacing w:after="0" w:line="240" w:lineRule="auto"/>
        <w:jc w:val="both"/>
      </w:pPr>
      <w:r w:rsidR="0B942BB3">
        <w:rPr/>
        <w:t xml:space="preserve">The </w:t>
      </w:r>
      <w:r w:rsidR="0B942BB3">
        <w:rPr/>
        <w:t xml:space="preserve">WRP Pooled </w:t>
      </w:r>
      <w:r w:rsidR="0B942BB3">
        <w:rPr/>
        <w:t xml:space="preserve">Fund </w:t>
      </w:r>
      <w:r w:rsidR="050D00D0">
        <w:rPr/>
        <w:t xml:space="preserve">shall be </w:t>
      </w:r>
      <w:r w:rsidR="0B942BB3">
        <w:rPr/>
        <w:t>a</w:t>
      </w:r>
      <w:r w:rsidR="7800374A">
        <w:rPr/>
        <w:t xml:space="preserve"> SPREP</w:t>
      </w:r>
      <w:r w:rsidR="0B942BB3">
        <w:rPr/>
        <w:t xml:space="preserve"> </w:t>
      </w:r>
      <w:r w:rsidR="07F29E3A">
        <w:rPr/>
        <w:t xml:space="preserve">Special </w:t>
      </w:r>
      <w:r w:rsidR="07F29E3A">
        <w:rPr/>
        <w:t>Ac</w:t>
      </w:r>
      <w:r w:rsidR="0B942BB3">
        <w:rPr/>
        <w:t>count</w:t>
      </w:r>
      <w:r w:rsidR="7800374A">
        <w:rPr/>
        <w:t xml:space="preserve">, </w:t>
      </w:r>
      <w:r w:rsidR="7800374A">
        <w:rPr/>
        <w:t>established</w:t>
      </w:r>
      <w:r w:rsidR="0B942BB3">
        <w:rPr/>
        <w:t xml:space="preserve"> </w:t>
      </w:r>
      <w:r w:rsidR="0B942BB3">
        <w:rPr/>
        <w:t>in accordance with</w:t>
      </w:r>
      <w:r w:rsidR="0B942BB3">
        <w:rPr/>
        <w:t xml:space="preserve"> the SPREP Financial Regulations</w:t>
      </w:r>
      <w:r w:rsidR="6ECAFB4E">
        <w:rPr/>
        <w:t>,</w:t>
      </w:r>
      <w:r w:rsidR="0B942BB3">
        <w:rPr/>
        <w:t xml:space="preserve"> with a separate bank account to ensure transparency and auditability.</w:t>
      </w:r>
      <w:r w:rsidR="48B6CCC7">
        <w:rPr/>
        <w:t xml:space="preserve"> Monies in the WRP Pooled Fund shall be used solely to finance WRP activities.</w:t>
      </w:r>
    </w:p>
    <w:p w:rsidR="007F427F" w:rsidP="000A7C59" w:rsidRDefault="007F427F" w14:paraId="07D401D7" w14:textId="77777777">
      <w:pPr>
        <w:spacing w:after="0" w:line="240" w:lineRule="auto"/>
        <w:jc w:val="both"/>
      </w:pPr>
    </w:p>
    <w:p w:rsidR="00501C82" w:rsidP="000A7C59" w:rsidRDefault="001E19F6" w14:paraId="72D2DE5E" w14:textId="3038D69C">
      <w:pPr>
        <w:spacing w:after="0" w:line="240" w:lineRule="auto"/>
        <w:jc w:val="both"/>
      </w:pPr>
      <w:r w:rsidR="0EB102D4">
        <w:rPr/>
        <w:t xml:space="preserve">SPREP’s </w:t>
      </w:r>
      <w:r w:rsidR="0BCBAB2B">
        <w:rPr/>
        <w:t xml:space="preserve">Financial Regulations require that the purpose and limits of each Special Account </w:t>
      </w:r>
      <w:r w:rsidR="0BCBAB2B">
        <w:rPr/>
        <w:t>are</w:t>
      </w:r>
      <w:r w:rsidR="0BCBAB2B">
        <w:rPr/>
        <w:t xml:space="preserve"> clearly defined by the SPREP Meeting</w:t>
      </w:r>
      <w:r w:rsidR="0EB102D4">
        <w:rPr/>
        <w:t xml:space="preserve">.  </w:t>
      </w:r>
    </w:p>
    <w:p w:rsidR="00501C82" w:rsidP="000A7C59" w:rsidRDefault="00501C82" w14:paraId="6E195821" w14:textId="77777777">
      <w:pPr>
        <w:spacing w:after="0" w:line="240" w:lineRule="auto"/>
        <w:jc w:val="both"/>
      </w:pPr>
    </w:p>
    <w:p w:rsidR="0037504C" w:rsidP="000A7C59" w:rsidRDefault="00AB4BF8" w14:paraId="27AD5DB3" w14:textId="4FAAFC41">
      <w:pPr>
        <w:spacing w:after="0" w:line="240" w:lineRule="auto"/>
        <w:jc w:val="both"/>
      </w:pPr>
      <w:r>
        <w:t xml:space="preserve">Further </w:t>
      </w:r>
      <w:r w:rsidR="00267180">
        <w:t xml:space="preserve">detailed </w:t>
      </w:r>
      <w:r w:rsidR="001C6CF9">
        <w:t>governance</w:t>
      </w:r>
      <w:r w:rsidR="00AF158C">
        <w:t>, financial</w:t>
      </w:r>
      <w:r w:rsidR="001C6CF9">
        <w:t xml:space="preserve"> and operational arrangements for</w:t>
      </w:r>
      <w:r w:rsidR="00AF158C">
        <w:t xml:space="preserve"> the WRP Pooled Fund are set out in the Operations Manual</w:t>
      </w:r>
      <w:r w:rsidR="00A25540">
        <w:t>.</w:t>
      </w:r>
    </w:p>
    <w:p w:rsidR="000A7C59" w:rsidP="000A7C59" w:rsidRDefault="000A7C59" w14:paraId="53001F38" w14:textId="77777777">
      <w:pPr>
        <w:pStyle w:val="WRPArticle"/>
        <w:spacing w:before="0" w:after="0" w:line="240" w:lineRule="auto"/>
        <w:jc w:val="both"/>
        <w:rPr>
          <w:rFonts w:eastAsiaTheme="minorEastAsia" w:cstheme="minorBidi"/>
          <w:b w:val="0"/>
          <w:bCs w:val="0"/>
          <w:color w:val="auto"/>
          <w:sz w:val="21"/>
          <w:szCs w:val="22"/>
        </w:rPr>
      </w:pPr>
    </w:p>
    <w:p w:rsidR="00C4589A" w:rsidP="000A7C59" w:rsidRDefault="00C4589A" w14:paraId="4D0561D9" w14:textId="36DC362A">
      <w:pPr>
        <w:pStyle w:val="WRPArticle"/>
        <w:spacing w:before="0" w:after="0" w:line="240" w:lineRule="auto"/>
        <w:jc w:val="both"/>
        <w:rPr>
          <w:rFonts w:eastAsiaTheme="minorEastAsia" w:cstheme="minorBidi"/>
          <w:b w:val="0"/>
          <w:bCs w:val="0"/>
          <w:color w:val="auto"/>
          <w:sz w:val="21"/>
          <w:szCs w:val="22"/>
        </w:rPr>
      </w:pPr>
      <w:r w:rsidRPr="00C4589A">
        <w:rPr>
          <w:rFonts w:eastAsiaTheme="minorEastAsia" w:cstheme="minorBidi"/>
          <w:b w:val="0"/>
          <w:bCs w:val="0"/>
          <w:color w:val="auto"/>
          <w:sz w:val="21"/>
          <w:szCs w:val="22"/>
        </w:rPr>
        <w:t>The</w:t>
      </w:r>
      <w:r>
        <w:rPr>
          <w:rFonts w:eastAsiaTheme="minorEastAsia" w:cstheme="minorBidi"/>
          <w:b w:val="0"/>
          <w:bCs w:val="0"/>
          <w:color w:val="auto"/>
          <w:sz w:val="21"/>
          <w:szCs w:val="22"/>
        </w:rPr>
        <w:t xml:space="preserve"> WRP Pooled</w:t>
      </w:r>
      <w:r w:rsidRPr="00C4589A">
        <w:rPr>
          <w:rFonts w:eastAsiaTheme="minorEastAsia" w:cstheme="minorBidi"/>
          <w:b w:val="0"/>
          <w:bCs w:val="0"/>
          <w:color w:val="auto"/>
          <w:sz w:val="21"/>
          <w:szCs w:val="22"/>
        </w:rPr>
        <w:t xml:space="preserve"> Fund </w:t>
      </w:r>
      <w:r w:rsidR="00994505">
        <w:rPr>
          <w:rFonts w:eastAsiaTheme="minorEastAsia" w:cstheme="minorBidi"/>
          <w:b w:val="0"/>
          <w:bCs w:val="0"/>
          <w:color w:val="auto"/>
          <w:sz w:val="21"/>
          <w:szCs w:val="22"/>
        </w:rPr>
        <w:t>shall</w:t>
      </w:r>
      <w:r w:rsidR="0088590F">
        <w:rPr>
          <w:rFonts w:eastAsiaTheme="minorEastAsia" w:cstheme="minorBidi"/>
          <w:b w:val="0"/>
          <w:bCs w:val="0"/>
          <w:color w:val="auto"/>
          <w:sz w:val="21"/>
          <w:szCs w:val="22"/>
        </w:rPr>
        <w:t xml:space="preserve"> not</w:t>
      </w:r>
      <w:r w:rsidRPr="00C4589A">
        <w:rPr>
          <w:rFonts w:eastAsiaTheme="minorEastAsia" w:cstheme="minorBidi"/>
          <w:b w:val="0"/>
          <w:bCs w:val="0"/>
          <w:color w:val="auto"/>
          <w:sz w:val="21"/>
          <w:szCs w:val="22"/>
        </w:rPr>
        <w:t xml:space="preserve"> </w:t>
      </w:r>
      <w:r w:rsidR="00994505">
        <w:rPr>
          <w:rFonts w:eastAsiaTheme="minorEastAsia" w:cstheme="minorBidi"/>
          <w:b w:val="0"/>
          <w:bCs w:val="0"/>
          <w:color w:val="auto"/>
          <w:sz w:val="21"/>
          <w:szCs w:val="22"/>
        </w:rPr>
        <w:t xml:space="preserve">be </w:t>
      </w:r>
      <w:r w:rsidRPr="00C4589A">
        <w:rPr>
          <w:rFonts w:eastAsiaTheme="minorEastAsia" w:cstheme="minorBidi"/>
          <w:b w:val="0"/>
          <w:bCs w:val="0"/>
          <w:color w:val="auto"/>
          <w:sz w:val="21"/>
          <w:szCs w:val="22"/>
        </w:rPr>
        <w:t>a separate legal entity</w:t>
      </w:r>
      <w:r w:rsidR="00994505">
        <w:rPr>
          <w:rFonts w:eastAsiaTheme="minorEastAsia" w:cstheme="minorBidi"/>
          <w:b w:val="0"/>
          <w:bCs w:val="0"/>
          <w:color w:val="auto"/>
          <w:sz w:val="21"/>
          <w:szCs w:val="22"/>
        </w:rPr>
        <w:t xml:space="preserve">, </w:t>
      </w:r>
      <w:r w:rsidRPr="00C4589A">
        <w:rPr>
          <w:rFonts w:eastAsiaTheme="minorEastAsia" w:cstheme="minorBidi"/>
          <w:b w:val="0"/>
          <w:bCs w:val="0"/>
          <w:color w:val="auto"/>
          <w:sz w:val="21"/>
          <w:szCs w:val="22"/>
        </w:rPr>
        <w:t xml:space="preserve">and SPREP </w:t>
      </w:r>
      <w:r w:rsidR="00994505">
        <w:rPr>
          <w:rFonts w:eastAsiaTheme="minorEastAsia" w:cstheme="minorBidi"/>
          <w:b w:val="0"/>
          <w:bCs w:val="0"/>
          <w:color w:val="auto"/>
          <w:sz w:val="21"/>
          <w:szCs w:val="22"/>
        </w:rPr>
        <w:t xml:space="preserve">shall </w:t>
      </w:r>
      <w:r w:rsidRPr="00C4589A">
        <w:rPr>
          <w:rFonts w:eastAsiaTheme="minorEastAsia" w:cstheme="minorBidi"/>
          <w:b w:val="0"/>
          <w:bCs w:val="0"/>
          <w:color w:val="auto"/>
          <w:sz w:val="21"/>
          <w:szCs w:val="22"/>
        </w:rPr>
        <w:t xml:space="preserve">be the contracting party for all agreements with </w:t>
      </w:r>
      <w:r w:rsidR="007E3956">
        <w:rPr>
          <w:rFonts w:eastAsiaTheme="minorEastAsia" w:cstheme="minorBidi"/>
          <w:b w:val="0"/>
          <w:bCs w:val="0"/>
          <w:color w:val="auto"/>
          <w:sz w:val="21"/>
          <w:szCs w:val="22"/>
        </w:rPr>
        <w:t>WRP D</w:t>
      </w:r>
      <w:r w:rsidR="004C1013">
        <w:rPr>
          <w:rFonts w:eastAsiaTheme="minorEastAsia" w:cstheme="minorBidi"/>
          <w:b w:val="0"/>
          <w:bCs w:val="0"/>
          <w:color w:val="auto"/>
          <w:sz w:val="21"/>
          <w:szCs w:val="22"/>
        </w:rPr>
        <w:t>onor</w:t>
      </w:r>
      <w:r w:rsidRPr="00C4589A">
        <w:rPr>
          <w:rFonts w:eastAsiaTheme="minorEastAsia" w:cstheme="minorBidi"/>
          <w:b w:val="0"/>
          <w:bCs w:val="0"/>
          <w:color w:val="auto"/>
          <w:sz w:val="21"/>
          <w:szCs w:val="22"/>
        </w:rPr>
        <w:t xml:space="preserve">s and for all agreements with WRP </w:t>
      </w:r>
      <w:r w:rsidR="00807E30">
        <w:rPr>
          <w:rFonts w:eastAsiaTheme="minorEastAsia" w:cstheme="minorBidi"/>
          <w:b w:val="0"/>
          <w:bCs w:val="0"/>
          <w:color w:val="auto"/>
          <w:sz w:val="21"/>
          <w:szCs w:val="22"/>
        </w:rPr>
        <w:t xml:space="preserve">suppliers, </w:t>
      </w:r>
      <w:r w:rsidRPr="00C4589A">
        <w:rPr>
          <w:rFonts w:eastAsiaTheme="minorEastAsia" w:cstheme="minorBidi"/>
          <w:b w:val="0"/>
          <w:bCs w:val="0"/>
          <w:color w:val="auto"/>
          <w:sz w:val="21"/>
          <w:szCs w:val="22"/>
        </w:rPr>
        <w:t xml:space="preserve">beneficiaries and </w:t>
      </w:r>
      <w:r w:rsidR="007639F0">
        <w:rPr>
          <w:rFonts w:eastAsiaTheme="minorEastAsia" w:cstheme="minorBidi"/>
          <w:b w:val="0"/>
          <w:bCs w:val="0"/>
          <w:color w:val="auto"/>
          <w:sz w:val="21"/>
          <w:szCs w:val="22"/>
        </w:rPr>
        <w:t>executing agencies</w:t>
      </w:r>
      <w:r w:rsidR="00323F31">
        <w:rPr>
          <w:rFonts w:eastAsiaTheme="minorEastAsia" w:cstheme="minorBidi"/>
          <w:b w:val="0"/>
          <w:bCs w:val="0"/>
          <w:color w:val="auto"/>
          <w:sz w:val="21"/>
          <w:szCs w:val="22"/>
        </w:rPr>
        <w:t xml:space="preserve"> in relation to the WRP Pooled Fund</w:t>
      </w:r>
      <w:r w:rsidRPr="00C4589A">
        <w:rPr>
          <w:rFonts w:eastAsiaTheme="minorEastAsia" w:cstheme="minorBidi"/>
          <w:b w:val="0"/>
          <w:bCs w:val="0"/>
          <w:color w:val="auto"/>
          <w:sz w:val="21"/>
          <w:szCs w:val="22"/>
        </w:rPr>
        <w:t xml:space="preserve">.  </w:t>
      </w:r>
    </w:p>
    <w:p w:rsidR="000A7C59" w:rsidP="000A7C59" w:rsidRDefault="000A7C59" w14:paraId="7E2860A7" w14:textId="77777777">
      <w:pPr>
        <w:pStyle w:val="WRPArticle"/>
        <w:spacing w:before="0" w:after="0" w:line="240" w:lineRule="auto"/>
        <w:jc w:val="both"/>
      </w:pPr>
    </w:p>
    <w:p w:rsidR="00DE35F3" w:rsidP="000A7C59" w:rsidRDefault="00DE35F3" w14:paraId="705F2B93" w14:textId="3916ADBF">
      <w:pPr>
        <w:pStyle w:val="WRPArticle"/>
        <w:spacing w:before="0" w:after="0" w:line="240" w:lineRule="auto"/>
        <w:jc w:val="both"/>
      </w:pPr>
      <w:r>
        <w:t xml:space="preserve">Article </w:t>
      </w:r>
      <w:r w:rsidR="001D23A6">
        <w:t>1</w:t>
      </w:r>
      <w:r w:rsidR="007639F0">
        <w:t>1</w:t>
      </w:r>
      <w:r>
        <w:t xml:space="preserve"> – Standard Forms and Templates</w:t>
      </w:r>
    </w:p>
    <w:p w:rsidRPr="00780AF3" w:rsidR="00DE35F3" w:rsidP="000A7C59" w:rsidRDefault="00DE35F3" w14:paraId="7C58B328" w14:textId="77777777">
      <w:pPr>
        <w:pStyle w:val="WRPArticle"/>
        <w:spacing w:before="0" w:after="0" w:line="240" w:lineRule="auto"/>
        <w:jc w:val="both"/>
        <w:rPr>
          <w:rFonts w:eastAsiaTheme="minorEastAsia" w:cstheme="minorBidi"/>
          <w:b w:val="0"/>
          <w:bCs w:val="0"/>
          <w:color w:val="auto"/>
          <w:sz w:val="21"/>
          <w:szCs w:val="22"/>
        </w:rPr>
      </w:pPr>
    </w:p>
    <w:p w:rsidRPr="00780AF3" w:rsidR="00DE35F3" w:rsidP="000A7C59" w:rsidRDefault="00DE35F3" w14:paraId="52F74C33" w14:textId="71C89342">
      <w:pPr>
        <w:pStyle w:val="WRPArticle"/>
        <w:spacing w:before="0" w:after="0" w:line="240" w:lineRule="auto"/>
        <w:jc w:val="both"/>
        <w:rPr>
          <w:rFonts w:eastAsiaTheme="minorEastAsia" w:cstheme="minorBidi"/>
          <w:b w:val="0"/>
          <w:bCs w:val="0"/>
          <w:color w:val="auto"/>
          <w:sz w:val="21"/>
          <w:szCs w:val="22"/>
        </w:rPr>
      </w:pPr>
      <w:r w:rsidRPr="00780AF3">
        <w:rPr>
          <w:rFonts w:eastAsiaTheme="minorEastAsia" w:cstheme="minorBidi"/>
          <w:b w:val="0"/>
          <w:bCs w:val="0"/>
          <w:color w:val="auto"/>
          <w:sz w:val="21"/>
          <w:szCs w:val="22"/>
        </w:rPr>
        <w:t xml:space="preserve">WRP shall use, where applicable, approved standard forms of grant agreement, implementation agreement, </w:t>
      </w:r>
      <w:r w:rsidR="007E3956">
        <w:rPr>
          <w:rFonts w:eastAsiaTheme="minorEastAsia" w:cstheme="minorBidi"/>
          <w:b w:val="0"/>
          <w:bCs w:val="0"/>
          <w:color w:val="auto"/>
          <w:sz w:val="21"/>
          <w:szCs w:val="22"/>
        </w:rPr>
        <w:t xml:space="preserve">and </w:t>
      </w:r>
      <w:r w:rsidRPr="00780AF3">
        <w:rPr>
          <w:rFonts w:eastAsiaTheme="minorEastAsia" w:cstheme="minorBidi"/>
          <w:b w:val="0"/>
          <w:bCs w:val="0"/>
          <w:color w:val="auto"/>
          <w:sz w:val="21"/>
          <w:szCs w:val="22"/>
        </w:rPr>
        <w:t>acquittal and reporting template. Such forms and templates shall support the unified governance, financial and reporting framework for WRP, while allowing only such variations as are expressly approved.</w:t>
      </w:r>
    </w:p>
    <w:p w:rsidR="00DE35F3" w:rsidP="000A7C59" w:rsidRDefault="00DE35F3" w14:paraId="32DBF9D5" w14:textId="77777777">
      <w:pPr>
        <w:pStyle w:val="WRPArticle"/>
        <w:spacing w:before="0" w:after="0" w:line="240" w:lineRule="auto"/>
        <w:jc w:val="both"/>
      </w:pPr>
    </w:p>
    <w:p w:rsidRPr="00780AF3" w:rsidR="0037504C" w:rsidP="000A7C59" w:rsidRDefault="00A25540" w14:paraId="40F06DC7" w14:textId="36143814">
      <w:pPr>
        <w:pStyle w:val="WRPArticle"/>
        <w:spacing w:before="0" w:after="0" w:line="240" w:lineRule="auto"/>
        <w:jc w:val="both"/>
      </w:pPr>
      <w:r>
        <w:t xml:space="preserve">Article </w:t>
      </w:r>
      <w:r w:rsidR="001D23A6">
        <w:t>1</w:t>
      </w:r>
      <w:r w:rsidR="007639F0">
        <w:t>2</w:t>
      </w:r>
      <w:r>
        <w:t xml:space="preserve">– </w:t>
      </w:r>
      <w:r w:rsidR="00A04458">
        <w:t xml:space="preserve">Ringfenced </w:t>
      </w:r>
      <w:r w:rsidR="00725F2C">
        <w:t>Funding</w:t>
      </w:r>
    </w:p>
    <w:p w:rsidR="000A7C59" w:rsidP="000A7C59" w:rsidRDefault="000A7C59" w14:paraId="1A5040EF" w14:textId="77777777">
      <w:pPr>
        <w:spacing w:after="0" w:line="240" w:lineRule="auto"/>
        <w:jc w:val="both"/>
      </w:pPr>
    </w:p>
    <w:p w:rsidR="0037504C" w:rsidP="000A7C59" w:rsidRDefault="00A25540" w14:paraId="62B03C4A" w14:textId="24B4AACD">
      <w:pPr>
        <w:spacing w:after="0" w:line="240" w:lineRule="auto"/>
        <w:jc w:val="both"/>
      </w:pPr>
      <w:r>
        <w:t>Whilst the principal financing mechanism of WRP shall be the WRP Pooled Fund, WRP</w:t>
      </w:r>
      <w:r w:rsidR="00323F31">
        <w:t xml:space="preserve"> may, on an exceptional basis, accept </w:t>
      </w:r>
      <w:r w:rsidR="003F6A2B">
        <w:t>R</w:t>
      </w:r>
      <w:r w:rsidR="007A48FD">
        <w:t xml:space="preserve">ingfenced </w:t>
      </w:r>
      <w:r w:rsidR="003F6A2B">
        <w:t>F</w:t>
      </w:r>
      <w:r w:rsidR="000B2F1B">
        <w:t>unding</w:t>
      </w:r>
      <w:r>
        <w:t xml:space="preserve"> </w:t>
      </w:r>
      <w:r w:rsidR="007A48FD">
        <w:t>wh</w:t>
      </w:r>
      <w:r>
        <w:t>ere pooling is not feasible</w:t>
      </w:r>
      <w:r w:rsidR="007A48FD">
        <w:t xml:space="preserve"> because of donor requirements</w:t>
      </w:r>
      <w:r w:rsidR="0097712A">
        <w:t>, partner-system constraints or other justified funding restrictions</w:t>
      </w:r>
      <w:r w:rsidRPr="00097C77" w:rsidR="00097C77">
        <w:t>.</w:t>
      </w:r>
    </w:p>
    <w:p w:rsidR="000A7C59" w:rsidP="000A7C59" w:rsidRDefault="000A7C59" w14:paraId="579E0F20" w14:textId="77777777">
      <w:pPr>
        <w:spacing w:after="0" w:line="240" w:lineRule="auto"/>
        <w:jc w:val="both"/>
      </w:pPr>
    </w:p>
    <w:p w:rsidR="0037504C" w:rsidP="000A7C59" w:rsidRDefault="00723D66" w14:paraId="1E05CA49" w14:textId="40B819E1">
      <w:pPr>
        <w:spacing w:after="0" w:line="240" w:lineRule="auto"/>
        <w:jc w:val="both"/>
      </w:pPr>
      <w:r>
        <w:t xml:space="preserve">Any decision to accept </w:t>
      </w:r>
      <w:r w:rsidR="00E4475F">
        <w:t>R</w:t>
      </w:r>
      <w:r>
        <w:t xml:space="preserve">ingfenced </w:t>
      </w:r>
      <w:r w:rsidR="00E4475F">
        <w:t>F</w:t>
      </w:r>
      <w:r>
        <w:t>unding shall be made in accordance with t</w:t>
      </w:r>
      <w:r w:rsidR="007639F0">
        <w:t>he Delegations Authority in</w:t>
      </w:r>
      <w:r>
        <w:t xml:space="preserve"> the Operations Manual</w:t>
      </w:r>
      <w:r w:rsidR="00DD624B">
        <w:t xml:space="preserve">. Ringfenced </w:t>
      </w:r>
      <w:r w:rsidR="00E4475F">
        <w:t>F</w:t>
      </w:r>
      <w:r w:rsidR="00DD624B">
        <w:t xml:space="preserve">unding may only be accepted if it is fully </w:t>
      </w:r>
      <w:r>
        <w:t>consistent with the WRP objectives, the Implementation Plan, the Funded Work</w:t>
      </w:r>
      <w:r w:rsidR="001D23A6">
        <w:t>p</w:t>
      </w:r>
      <w:r>
        <w:t>lan</w:t>
      </w:r>
      <w:r w:rsidR="008748F0">
        <w:t xml:space="preserve"> (as defined in the Operations Manual)</w:t>
      </w:r>
      <w:r>
        <w:t xml:space="preserve"> and the u</w:t>
      </w:r>
      <w:r w:rsidR="00B92A9F">
        <w:t xml:space="preserve">nified </w:t>
      </w:r>
      <w:r w:rsidR="00EE295C">
        <w:t xml:space="preserve">governance, financial and </w:t>
      </w:r>
      <w:r w:rsidR="002C394F">
        <w:t>reporting framework for WRP</w:t>
      </w:r>
      <w:r w:rsidR="00A25540">
        <w:t>.</w:t>
      </w:r>
    </w:p>
    <w:p w:rsidR="000A7C59" w:rsidP="000A7C59" w:rsidRDefault="000A7C59" w14:paraId="3F6879EA" w14:textId="77777777">
      <w:pPr>
        <w:spacing w:after="0" w:line="240" w:lineRule="auto"/>
        <w:jc w:val="both"/>
      </w:pPr>
    </w:p>
    <w:p w:rsidR="0037504C" w:rsidP="000A7C59" w:rsidRDefault="000A1E7A" w14:paraId="5F2E1F78" w14:textId="300FDE1A">
      <w:pPr>
        <w:spacing w:after="0" w:line="240" w:lineRule="auto"/>
        <w:jc w:val="both"/>
      </w:pPr>
      <w:r>
        <w:t xml:space="preserve">The </w:t>
      </w:r>
      <w:r w:rsidR="00267180">
        <w:t xml:space="preserve">detailed </w:t>
      </w:r>
      <w:r>
        <w:t xml:space="preserve">governance, financial and operational arrangements for </w:t>
      </w:r>
      <w:r w:rsidR="00E4475F">
        <w:t>R</w:t>
      </w:r>
      <w:r w:rsidR="00AE0C31">
        <w:t>ingfenced</w:t>
      </w:r>
      <w:r w:rsidR="00267180">
        <w:t xml:space="preserve"> </w:t>
      </w:r>
      <w:r w:rsidR="00E4475F">
        <w:t>F</w:t>
      </w:r>
      <w:r w:rsidR="00267180">
        <w:t xml:space="preserve">unding are set out in the WRP Operations Manual. </w:t>
      </w:r>
    </w:p>
    <w:p w:rsidR="00E4475F" w:rsidP="000A7C59" w:rsidRDefault="00E4475F" w14:paraId="7F0B425D" w14:textId="77777777">
      <w:pPr>
        <w:spacing w:after="0" w:line="240" w:lineRule="auto"/>
        <w:jc w:val="both"/>
      </w:pPr>
    </w:p>
    <w:p w:rsidR="00E4475F" w:rsidP="000A7C59" w:rsidRDefault="00E4475F" w14:paraId="1F197CC9" w14:textId="09BCA3E6">
      <w:pPr>
        <w:spacing w:after="0" w:line="240" w:lineRule="auto"/>
        <w:jc w:val="both"/>
      </w:pPr>
      <w:r>
        <w:t>Ringfenced Funding</w:t>
      </w:r>
      <w:r w:rsidR="00D25808">
        <w:t xml:space="preserve"> </w:t>
      </w:r>
      <w:r w:rsidR="00C93DBD">
        <w:t xml:space="preserve">is a transitional funding mechanism </w:t>
      </w:r>
      <w:r w:rsidR="007639F0">
        <w:t>[for the first phase of the Implementation Plan</w:t>
      </w:r>
      <w:r w:rsidR="00505089">
        <w:t>]</w:t>
      </w:r>
      <w:r w:rsidR="007639F0">
        <w:t xml:space="preserve"> </w:t>
      </w:r>
      <w:r w:rsidR="00C93DBD">
        <w:t xml:space="preserve"> </w:t>
      </w:r>
      <w:r w:rsidR="00D25808">
        <w:t>after</w:t>
      </w:r>
      <w:r>
        <w:t xml:space="preserve"> </w:t>
      </w:r>
      <w:r w:rsidR="007639F0">
        <w:t xml:space="preserve">which </w:t>
      </w:r>
      <w:r>
        <w:t xml:space="preserve">all </w:t>
      </w:r>
      <w:r w:rsidR="00C93DBD">
        <w:t>f</w:t>
      </w:r>
      <w:r>
        <w:t>unding</w:t>
      </w:r>
      <w:r w:rsidR="007639F0">
        <w:t xml:space="preserve"> (excluding Other Support)</w:t>
      </w:r>
      <w:r>
        <w:t xml:space="preserve"> </w:t>
      </w:r>
      <w:r w:rsidR="00D25808">
        <w:t xml:space="preserve">should </w:t>
      </w:r>
      <w:r>
        <w:t xml:space="preserve">be </w:t>
      </w:r>
      <w:r w:rsidR="00C93DBD">
        <w:t>allocated</w:t>
      </w:r>
      <w:r>
        <w:t xml:space="preserve"> to the WRP Pooled Fund. </w:t>
      </w:r>
    </w:p>
    <w:p w:rsidR="00792DAA" w:rsidP="000A7C59" w:rsidRDefault="00792DAA" w14:paraId="082B22C3" w14:textId="77777777">
      <w:pPr>
        <w:spacing w:after="0" w:line="240" w:lineRule="auto"/>
        <w:jc w:val="both"/>
      </w:pPr>
    </w:p>
    <w:p w:rsidR="00972AA3" w:rsidP="000A7C59" w:rsidRDefault="00B64998" w14:paraId="3DADB414" w14:textId="24E86435">
      <w:pPr>
        <w:pStyle w:val="WRPArticle"/>
        <w:spacing w:before="0" w:after="0" w:line="240" w:lineRule="auto"/>
        <w:jc w:val="both"/>
      </w:pPr>
      <w:r>
        <w:t>Article 1</w:t>
      </w:r>
      <w:r w:rsidR="007639F0">
        <w:t>3</w:t>
      </w:r>
      <w:r>
        <w:t xml:space="preserve"> </w:t>
      </w:r>
      <w:r w:rsidR="00972AA3">
        <w:t>–</w:t>
      </w:r>
      <w:r>
        <w:t xml:space="preserve"> </w:t>
      </w:r>
      <w:r w:rsidR="00AE0C31">
        <w:t>M</w:t>
      </w:r>
      <w:r w:rsidR="00972AA3">
        <w:t>ulti-hazard Early Warning Readiness Fund (flexi-fund)</w:t>
      </w:r>
    </w:p>
    <w:p w:rsidR="00972AA3" w:rsidP="000A7C59" w:rsidRDefault="00972AA3" w14:paraId="41439E00" w14:textId="77777777">
      <w:pPr>
        <w:pStyle w:val="WRPArticle"/>
        <w:spacing w:before="0" w:after="0" w:line="240" w:lineRule="auto"/>
        <w:jc w:val="both"/>
      </w:pPr>
    </w:p>
    <w:p w:rsidR="00972AA3" w:rsidP="00972AA3" w:rsidRDefault="00DD624B" w14:paraId="63D640C0" w14:textId="250D9994">
      <w:pPr>
        <w:spacing w:after="0" w:line="240" w:lineRule="auto"/>
        <w:jc w:val="both"/>
      </w:pPr>
      <w:r>
        <w:t xml:space="preserve">Any WRP </w:t>
      </w:r>
      <w:r w:rsidR="001E6EB2">
        <w:t>Funding</w:t>
      </w:r>
      <w:r w:rsidRPr="00972AA3" w:rsidR="001E6EB2">
        <w:t xml:space="preserve"> </w:t>
      </w:r>
      <w:r w:rsidRPr="00972AA3" w:rsidR="00972AA3">
        <w:t xml:space="preserve">allocated </w:t>
      </w:r>
      <w:r w:rsidR="00883138">
        <w:t>to</w:t>
      </w:r>
      <w:r w:rsidRPr="00972AA3" w:rsidR="00972AA3">
        <w:t xml:space="preserve"> the Multi-hazard Early Warning Readiness Fund (flexi-fund) </w:t>
      </w:r>
      <w:r w:rsidR="00FC07C0">
        <w:t>shall</w:t>
      </w:r>
      <w:r w:rsidRPr="00972AA3" w:rsidR="00972AA3">
        <w:t xml:space="preserve"> be managed and administered in accordance with the unified governance, financial and operational framework set out in this Charter</w:t>
      </w:r>
      <w:r w:rsidR="00230A22">
        <w:t xml:space="preserve"> and the Operations Manual</w:t>
      </w:r>
      <w:r w:rsidRPr="00972AA3" w:rsidR="00972AA3">
        <w:t xml:space="preserve">. </w:t>
      </w:r>
      <w:r w:rsidR="003B4D47">
        <w:t>For the avoidance of doubt, the flexi-fund is a component of the Pooled Fund and is not a separate fund.</w:t>
      </w:r>
      <w:r w:rsidRPr="00972AA3" w:rsidR="00972AA3">
        <w:t xml:space="preserve"> </w:t>
      </w:r>
    </w:p>
    <w:p w:rsidR="00972AA3" w:rsidP="000A7C59" w:rsidRDefault="00972AA3" w14:paraId="508230BE" w14:textId="77777777">
      <w:pPr>
        <w:pStyle w:val="WRPArticle"/>
        <w:spacing w:before="0" w:after="0" w:line="240" w:lineRule="auto"/>
        <w:jc w:val="both"/>
      </w:pPr>
    </w:p>
    <w:p w:rsidR="0037504C" w:rsidP="000A7C59" w:rsidRDefault="00A25540" w14:paraId="077A2D57" w14:textId="0258FAD5">
      <w:pPr>
        <w:pStyle w:val="WRPArticle"/>
        <w:spacing w:before="0" w:after="0" w:line="240" w:lineRule="auto"/>
        <w:jc w:val="both"/>
      </w:pPr>
      <w:r>
        <w:t>Article 1</w:t>
      </w:r>
      <w:r w:rsidR="007639F0">
        <w:t>4</w:t>
      </w:r>
      <w:r>
        <w:t xml:space="preserve"> – </w:t>
      </w:r>
      <w:r w:rsidR="00885679">
        <w:t>Types of Funding</w:t>
      </w:r>
      <w:r w:rsidR="00B54980">
        <w:t xml:space="preserve"> Instrument</w:t>
      </w:r>
    </w:p>
    <w:p w:rsidR="000A7C59" w:rsidP="001E19F6" w:rsidRDefault="000A7C59" w14:paraId="43FAB867" w14:textId="77777777">
      <w:pPr>
        <w:pStyle w:val="WRPArticle"/>
        <w:spacing w:before="0" w:after="0" w:line="240" w:lineRule="auto"/>
        <w:jc w:val="both"/>
      </w:pPr>
    </w:p>
    <w:p w:rsidRPr="001E19F6" w:rsidR="00525FF3" w:rsidP="001E19F6" w:rsidRDefault="0007108B" w14:paraId="78567A20" w14:textId="2A9B6BFC">
      <w:pPr>
        <w:spacing w:after="0" w:line="240" w:lineRule="auto"/>
        <w:jc w:val="both"/>
      </w:pPr>
      <w:r>
        <w:t xml:space="preserve">WRP </w:t>
      </w:r>
      <w:r w:rsidRPr="001E19F6" w:rsidR="00525FF3">
        <w:t xml:space="preserve">Donors </w:t>
      </w:r>
      <w:r w:rsidR="007639F0">
        <w:t xml:space="preserve">providing Pooled Funding or Ringfenced Funding </w:t>
      </w:r>
      <w:r w:rsidRPr="001E19F6" w:rsidR="00525FF3">
        <w:t xml:space="preserve">may provide </w:t>
      </w:r>
      <w:r w:rsidR="007639F0">
        <w:t xml:space="preserve">such </w:t>
      </w:r>
      <w:r w:rsidRPr="001E19F6" w:rsidR="00525FF3">
        <w:t>funding to SPREP for WRP activities by grant</w:t>
      </w:r>
      <w:r w:rsidR="001E6EB2">
        <w:t xml:space="preserve"> </w:t>
      </w:r>
      <w:r w:rsidRPr="001E19F6" w:rsidR="00525FF3">
        <w:t xml:space="preserve">or such other funding instrument as may be approved in writing </w:t>
      </w:r>
      <w:r w:rsidR="007639F0">
        <w:t xml:space="preserve">in accordance with the Delegations Authority in the Operations Manual. </w:t>
      </w:r>
      <w:r w:rsidRPr="001E19F6" w:rsidR="00525FF3">
        <w:t>.</w:t>
      </w:r>
    </w:p>
    <w:p w:rsidR="001E19F6" w:rsidP="001E19F6" w:rsidRDefault="001E19F6" w14:paraId="22EB0653" w14:textId="77777777">
      <w:pPr>
        <w:spacing w:after="0" w:line="240" w:lineRule="auto"/>
        <w:jc w:val="both"/>
      </w:pPr>
    </w:p>
    <w:p w:rsidRPr="001E19F6" w:rsidR="00525FF3" w:rsidP="001E19F6" w:rsidRDefault="00525FF3" w14:paraId="6C9258CB" w14:textId="1CDB44CC">
      <w:pPr>
        <w:spacing w:after="0" w:line="240" w:lineRule="auto"/>
        <w:jc w:val="both"/>
      </w:pPr>
      <w:r w:rsidRPr="001E19F6">
        <w:t>Unless otherwise approved, grant funding shall remain the default funding modality for WRP.</w:t>
      </w:r>
    </w:p>
    <w:p w:rsidR="007E3956" w:rsidP="001E19F6" w:rsidRDefault="007E3956" w14:paraId="73EEF0E7" w14:textId="77777777">
      <w:pPr>
        <w:spacing w:after="0" w:line="240" w:lineRule="auto"/>
        <w:jc w:val="both"/>
      </w:pPr>
    </w:p>
    <w:p w:rsidRPr="001E19F6" w:rsidR="00525FF3" w:rsidP="001E19F6" w:rsidRDefault="00525FF3" w14:paraId="5E33CD89" w14:textId="278A7BA4">
      <w:pPr>
        <w:spacing w:after="0" w:line="240" w:lineRule="auto"/>
        <w:jc w:val="both"/>
      </w:pPr>
      <w:r w:rsidRPr="001E19F6">
        <w:t xml:space="preserve">Each funding instrument </w:t>
      </w:r>
      <w:r w:rsidR="00CA07AF">
        <w:t xml:space="preserve">for Pooled Funding or Ringfenced Funding </w:t>
      </w:r>
      <w:r w:rsidRPr="001E19F6">
        <w:t>shall set out, as applicable, the contribution amount, timing, conditions, approved use of funds, reporting, assurance arrangements, implementation modality, and any approved ringfencing or other restrictions.</w:t>
      </w:r>
    </w:p>
    <w:p w:rsidR="001E19F6" w:rsidP="001E19F6" w:rsidRDefault="001E19F6" w14:paraId="1A429310" w14:textId="77777777">
      <w:pPr>
        <w:spacing w:after="0" w:line="240" w:lineRule="auto"/>
        <w:jc w:val="both"/>
      </w:pPr>
    </w:p>
    <w:p w:rsidR="00525FF3" w:rsidP="001E19F6" w:rsidRDefault="009B6B42" w14:paraId="6A38DCAF" w14:textId="74A44BB8">
      <w:pPr>
        <w:spacing w:after="0" w:line="240" w:lineRule="auto"/>
        <w:jc w:val="both"/>
      </w:pPr>
      <w:r>
        <w:t xml:space="preserve">WRP </w:t>
      </w:r>
      <w:r w:rsidRPr="001E19F6" w:rsidR="00525FF3">
        <w:t xml:space="preserve">Donors shall be subject to </w:t>
      </w:r>
      <w:r>
        <w:t xml:space="preserve">appropriate </w:t>
      </w:r>
      <w:r w:rsidRPr="001E19F6" w:rsidR="00525FF3">
        <w:t>due diligence, sanctions screening, business integrity and conflict-of-interest checks in accordance with SPREP’s policies and procedures and in a manner consistent with the principles of this Charter.</w:t>
      </w:r>
    </w:p>
    <w:p w:rsidR="00DE35F3" w:rsidP="001E19F6" w:rsidRDefault="00DE35F3" w14:paraId="478E4E4F" w14:textId="77777777">
      <w:pPr>
        <w:spacing w:after="0" w:line="240" w:lineRule="auto"/>
        <w:jc w:val="both"/>
      </w:pPr>
    </w:p>
    <w:p w:rsidR="00EB2F5B" w:rsidP="0007108B" w:rsidRDefault="0007108B" w14:paraId="42261D9C" w14:textId="33FA94FB">
      <w:pPr>
        <w:spacing w:after="0" w:line="240" w:lineRule="auto"/>
        <w:jc w:val="both"/>
      </w:pPr>
      <w:r w:rsidRPr="00322106">
        <w:t xml:space="preserve">SPREP will enter into agreements with </w:t>
      </w:r>
      <w:r w:rsidR="00CA07AF">
        <w:t xml:space="preserve">such </w:t>
      </w:r>
      <w:r w:rsidRPr="00CA07AF" w:rsidR="00CA07AF">
        <w:t>suppliers, beneficiaries</w:t>
      </w:r>
      <w:r w:rsidR="00CA07AF">
        <w:t xml:space="preserve">, </w:t>
      </w:r>
      <w:r w:rsidRPr="00CA07AF" w:rsidR="00CA07AF">
        <w:t>executing agencies</w:t>
      </w:r>
      <w:r w:rsidRPr="00CA07AF" w:rsidDel="00CA07AF" w:rsidR="00CA07AF">
        <w:t xml:space="preserve"> </w:t>
      </w:r>
      <w:r w:rsidR="00CA07AF">
        <w:t xml:space="preserve">and </w:t>
      </w:r>
      <w:r>
        <w:t xml:space="preserve"> </w:t>
      </w:r>
      <w:r w:rsidRPr="0007108B">
        <w:t>other recipient</w:t>
      </w:r>
      <w:r>
        <w:t>s</w:t>
      </w:r>
      <w:r w:rsidRPr="0007108B">
        <w:t xml:space="preserve"> of WRP </w:t>
      </w:r>
      <w:r w:rsidR="00EB2F5B">
        <w:t xml:space="preserve">Funding </w:t>
      </w:r>
      <w:r>
        <w:t xml:space="preserve">as are approved [by the Steering Committee].  </w:t>
      </w:r>
    </w:p>
    <w:p w:rsidR="00EB2F5B" w:rsidP="0007108B" w:rsidRDefault="00EB2F5B" w14:paraId="3CE5B02B" w14:textId="77777777">
      <w:pPr>
        <w:spacing w:after="0" w:line="240" w:lineRule="auto"/>
        <w:jc w:val="both"/>
      </w:pPr>
    </w:p>
    <w:p w:rsidRPr="001E19F6" w:rsidR="0007108B" w:rsidP="0007108B" w:rsidRDefault="0007108B" w14:paraId="5AF52CE5" w14:textId="043FEF95">
      <w:pPr>
        <w:spacing w:after="0" w:line="240" w:lineRule="auto"/>
        <w:jc w:val="both"/>
      </w:pPr>
      <w:r w:rsidRPr="00322106">
        <w:t xml:space="preserve">Where a proposed WRP </w:t>
      </w:r>
      <w:r w:rsidR="00AB1419">
        <w:t xml:space="preserve">agreement </w:t>
      </w:r>
      <w:r w:rsidRPr="00322106">
        <w:t>includes reimbursable, contingent, guarantee-based, revolving or revenue-linked features, the Steering Committee’s approval record shall also address the public-purpose rationale, treatment of financial returns or recoveries, key risks and the proposed contribution of that instrument to long-term sustainability or resilience finance mobilisation.</w:t>
      </w:r>
    </w:p>
    <w:p w:rsidR="0007108B" w:rsidP="001E19F6" w:rsidRDefault="0007108B" w14:paraId="49ADF348" w14:textId="77777777">
      <w:pPr>
        <w:spacing w:after="0" w:line="240" w:lineRule="auto"/>
        <w:jc w:val="both"/>
      </w:pPr>
    </w:p>
    <w:p w:rsidRPr="001E19F6" w:rsidR="00DE35F3" w:rsidP="001E19F6" w:rsidRDefault="00DE35F3" w14:paraId="53EF8F46" w14:textId="3576A232">
      <w:pPr>
        <w:spacing w:after="0" w:line="240" w:lineRule="auto"/>
        <w:jc w:val="both"/>
      </w:pPr>
      <w:r w:rsidRPr="00DE35F3">
        <w:t xml:space="preserve">Any </w:t>
      </w:r>
      <w:r w:rsidRPr="00CA07AF" w:rsidR="00CA07AF">
        <w:t>supplier, beneficiar</w:t>
      </w:r>
      <w:r w:rsidR="00CA07AF">
        <w:t>y</w:t>
      </w:r>
      <w:r w:rsidRPr="00CA07AF" w:rsidR="00CA07AF">
        <w:t>, executing agenc</w:t>
      </w:r>
      <w:r w:rsidR="00CA07AF">
        <w:t>y</w:t>
      </w:r>
      <w:r w:rsidRPr="00CA07AF" w:rsidR="00CA07AF">
        <w:t xml:space="preserve"> </w:t>
      </w:r>
      <w:r w:rsidRPr="00DE35F3">
        <w:t xml:space="preserve">or other recipient of WRP </w:t>
      </w:r>
      <w:r w:rsidR="00CA1CEF">
        <w:t>Funding</w:t>
      </w:r>
      <w:r w:rsidRPr="00DE35F3">
        <w:t xml:space="preserve"> must satisfy any fit-for-purpose eligibility, due diligence, integrity and delivery-capacity requirements set out in the  Operations Manual and applicable SPREP </w:t>
      </w:r>
      <w:r w:rsidR="006879DC">
        <w:t>P</w:t>
      </w:r>
      <w:r w:rsidRPr="00DE35F3" w:rsidR="006879DC">
        <w:t>olicies</w:t>
      </w:r>
      <w:r w:rsidRPr="00DE35F3">
        <w:t>. The Steering Committee may approve a proportionate eligibility or accreditation approach for categories of partners appropriate to the scale and risk of the relevant funding modality</w:t>
      </w:r>
      <w:r>
        <w:t>.</w:t>
      </w:r>
    </w:p>
    <w:p w:rsidR="001E19F6" w:rsidP="001E19F6" w:rsidRDefault="001E19F6" w14:paraId="433EE58B" w14:textId="77777777">
      <w:pPr>
        <w:spacing w:after="0" w:line="240" w:lineRule="auto"/>
        <w:jc w:val="both"/>
      </w:pPr>
    </w:p>
    <w:p w:rsidRPr="001E19F6" w:rsidR="00525FF3" w:rsidP="001E19F6" w:rsidRDefault="00525FF3" w14:paraId="5A9ADE91" w14:textId="233936A7">
      <w:pPr>
        <w:spacing w:after="0" w:line="240" w:lineRule="auto"/>
        <w:jc w:val="both"/>
      </w:pPr>
      <w:r w:rsidRPr="001E19F6">
        <w:t xml:space="preserve">Where a </w:t>
      </w:r>
      <w:r w:rsidR="009B6B42">
        <w:t>WRP D</w:t>
      </w:r>
      <w:r w:rsidRPr="001E19F6">
        <w:t xml:space="preserve">onor </w:t>
      </w:r>
      <w:r w:rsidR="00CA1CEF">
        <w:t xml:space="preserve">providing Pooled Funding or Ringfenced Funding </w:t>
      </w:r>
      <w:r w:rsidRPr="001E19F6">
        <w:t>requires additional conditions</w:t>
      </w:r>
      <w:r w:rsidR="00CA07AF">
        <w:t xml:space="preserve"> in its funding instrument</w:t>
      </w:r>
      <w:r w:rsidRPr="001E19F6">
        <w:t xml:space="preserve">, these </w:t>
      </w:r>
      <w:r w:rsidR="00CA07AF">
        <w:t xml:space="preserve">will </w:t>
      </w:r>
      <w:r w:rsidRPr="001E19F6" w:rsidR="001E19F6">
        <w:t xml:space="preserve">require the prior written approval of </w:t>
      </w:r>
      <w:r w:rsidR="00CA07AF">
        <w:t xml:space="preserve">SPREP (via the PMU) </w:t>
      </w:r>
      <w:r w:rsidRPr="001E19F6" w:rsidR="001E19F6">
        <w:t xml:space="preserve"> and </w:t>
      </w:r>
      <w:r w:rsidRPr="001E19F6">
        <w:t xml:space="preserve">should be reflected in the relevant </w:t>
      </w:r>
      <w:r w:rsidR="0007108B">
        <w:t xml:space="preserve">WRP Donor’s </w:t>
      </w:r>
      <w:r w:rsidR="007E3956">
        <w:t>funding instrument</w:t>
      </w:r>
      <w:r w:rsidRPr="001E19F6" w:rsidR="007E3956">
        <w:t xml:space="preserve"> </w:t>
      </w:r>
      <w:r w:rsidRPr="001E19F6">
        <w:t>without undermining the coherence of the overall WRP framework.</w:t>
      </w:r>
    </w:p>
    <w:p w:rsidRPr="001E19F6" w:rsidR="00ED707F" w:rsidP="001E19F6" w:rsidRDefault="00ED707F" w14:paraId="0280043F" w14:textId="77777777">
      <w:pPr>
        <w:spacing w:after="0" w:line="240" w:lineRule="auto"/>
        <w:jc w:val="both"/>
      </w:pPr>
    </w:p>
    <w:p w:rsidRPr="001E19F6" w:rsidR="000A7C59" w:rsidP="001E19F6" w:rsidRDefault="00CA07AF" w14:paraId="1A3C4B47" w14:textId="44AA6A31">
      <w:pPr>
        <w:spacing w:after="0" w:line="240" w:lineRule="auto"/>
        <w:jc w:val="both"/>
      </w:pPr>
      <w:r>
        <w:t>Other S</w:t>
      </w:r>
      <w:r w:rsidRPr="001E19F6" w:rsidR="00525FF3">
        <w:t xml:space="preserve">upport  shall be captured in annual </w:t>
      </w:r>
      <w:r w:rsidRPr="001E19F6" w:rsidR="008B228A">
        <w:t xml:space="preserve">costed </w:t>
      </w:r>
      <w:r w:rsidRPr="001E19F6" w:rsidR="00525FF3">
        <w:t>workplans, and reporting arrangements so that the full WRP investment effort can be planned, monitored and reported coherently.</w:t>
      </w:r>
    </w:p>
    <w:p w:rsidR="00ED707F" w:rsidP="00525FF3" w:rsidRDefault="00ED707F" w14:paraId="326D8885" w14:textId="77777777">
      <w:pPr>
        <w:pStyle w:val="WRPArticle"/>
        <w:spacing w:before="0" w:after="0" w:line="240" w:lineRule="auto"/>
        <w:jc w:val="both"/>
      </w:pPr>
    </w:p>
    <w:p w:rsidR="0037504C" w:rsidP="000A7C59" w:rsidRDefault="00A25540" w14:paraId="29E81333" w14:textId="58B8B164">
      <w:pPr>
        <w:pStyle w:val="WRPArticle"/>
        <w:spacing w:before="0" w:after="0" w:line="240" w:lineRule="auto"/>
        <w:jc w:val="both"/>
      </w:pPr>
      <w:r>
        <w:t>Article 1</w:t>
      </w:r>
      <w:r w:rsidR="00CA07AF">
        <w:t>5</w:t>
      </w:r>
      <w:r>
        <w:t xml:space="preserve"> – Programme Management Fees and Cost Recovery</w:t>
      </w:r>
    </w:p>
    <w:p w:rsidR="000A7C59" w:rsidP="000A7C59" w:rsidRDefault="000A7C59" w14:paraId="7CC414A1" w14:textId="77777777">
      <w:pPr>
        <w:spacing w:after="0" w:line="240" w:lineRule="auto"/>
        <w:jc w:val="both"/>
      </w:pPr>
    </w:p>
    <w:p w:rsidR="0037504C" w:rsidP="000A7C59" w:rsidRDefault="00A25540" w14:paraId="4735467F" w14:textId="06E04337">
      <w:pPr>
        <w:spacing w:after="0" w:line="240" w:lineRule="auto"/>
        <w:jc w:val="both"/>
      </w:pPr>
      <w:r>
        <w:t>WRP shall provide for programme management fees and other permitted cost recovery in accordance with the prevailing SPREP policy.</w:t>
      </w:r>
    </w:p>
    <w:p w:rsidR="000A7C59" w:rsidP="000A7C59" w:rsidRDefault="000A7C59" w14:paraId="1ED0EF6A" w14:textId="77777777">
      <w:pPr>
        <w:spacing w:after="0" w:line="240" w:lineRule="auto"/>
        <w:jc w:val="both"/>
      </w:pPr>
    </w:p>
    <w:p w:rsidR="0037504C" w:rsidP="000A7C59" w:rsidRDefault="00A25540" w14:paraId="61DE4E1A" w14:textId="13A1E4E6">
      <w:pPr>
        <w:spacing w:after="0" w:line="240" w:lineRule="auto"/>
        <w:jc w:val="both"/>
      </w:pPr>
      <w:r>
        <w:t>Unless otherwise approved under that policy, the programme management fee</w:t>
      </w:r>
      <w:r w:rsidR="000873BF">
        <w:t>s</w:t>
      </w:r>
      <w:r>
        <w:t xml:space="preserve"> applicable to WRP-funded </w:t>
      </w:r>
      <w:r w:rsidR="000873BF">
        <w:t xml:space="preserve">activities, whether financed through the WRP Pooled Fund or through </w:t>
      </w:r>
      <w:r w:rsidR="00DE5BCD">
        <w:t>an approved ringfenced arrangement, s</w:t>
      </w:r>
      <w:r>
        <w:t>hall follow the standard SPREP rate.</w:t>
      </w:r>
    </w:p>
    <w:p w:rsidR="000A7C59" w:rsidP="000A7C59" w:rsidRDefault="000A7C59" w14:paraId="75FABFAC" w14:textId="77777777">
      <w:pPr>
        <w:spacing w:after="0" w:line="240" w:lineRule="auto"/>
        <w:jc w:val="both"/>
      </w:pPr>
    </w:p>
    <w:p w:rsidRPr="00844B75" w:rsidR="00505089" w:rsidP="00844B75" w:rsidRDefault="00A25540" w14:paraId="53E2C504" w14:textId="0C90E264">
      <w:pPr>
        <w:spacing w:after="0" w:line="240" w:lineRule="auto"/>
        <w:jc w:val="both"/>
      </w:pPr>
      <w:r>
        <w:t>Where a lower rate is accepted</w:t>
      </w:r>
      <w:r w:rsidR="00DE5BCD">
        <w:t xml:space="preserve"> or required</w:t>
      </w:r>
      <w:r>
        <w:t xml:space="preserve">, the </w:t>
      </w:r>
      <w:r w:rsidR="00A23B13">
        <w:t>resulting gap may</w:t>
      </w:r>
      <w:r>
        <w:t xml:space="preserve">, where </w:t>
      </w:r>
      <w:r w:rsidR="00A23B13">
        <w:t>permitted</w:t>
      </w:r>
      <w:r>
        <w:t xml:space="preserve">, be addressed through approved direct-cost recovery or other cost-recovery measures </w:t>
      </w:r>
      <w:r w:rsidR="00A23B13">
        <w:t>consistent with</w:t>
      </w:r>
      <w:r>
        <w:t xml:space="preserve"> SPREP </w:t>
      </w:r>
      <w:r w:rsidR="00CA07AF">
        <w:t>P</w:t>
      </w:r>
      <w:r>
        <w:t>olic</w:t>
      </w:r>
      <w:r w:rsidR="00CA07AF">
        <w:t>ies</w:t>
      </w:r>
      <w:r w:rsidR="00844B75">
        <w:t xml:space="preserve">. </w:t>
      </w:r>
      <w:r w:rsidRPr="00505089">
        <w:t xml:space="preserve">Any departure from the standard SPREP rate or cost-recovery approach </w:t>
      </w:r>
      <w:r w:rsidRPr="00505089" w:rsidR="001E19F6">
        <w:t>requires the prior written approval of the Steering Committee</w:t>
      </w:r>
      <w:r w:rsidRPr="00505089">
        <w:t>.</w:t>
      </w:r>
    </w:p>
    <w:p w:rsidR="00505089" w:rsidP="00780AF3" w:rsidRDefault="00505089" w14:paraId="21EEF3EF" w14:textId="77777777">
      <w:pPr>
        <w:pStyle w:val="WRPArticle"/>
        <w:spacing w:before="0" w:after="0" w:line="240" w:lineRule="auto"/>
        <w:jc w:val="both"/>
      </w:pPr>
    </w:p>
    <w:p w:rsidR="0037504C" w:rsidP="00780AF3" w:rsidRDefault="00A25540" w14:paraId="3E9A466A" w14:textId="65C2DCA3">
      <w:pPr>
        <w:pStyle w:val="WRPArticle"/>
        <w:spacing w:before="0" w:after="0" w:line="240" w:lineRule="auto"/>
        <w:jc w:val="both"/>
      </w:pPr>
      <w:r>
        <w:t>Article 1</w:t>
      </w:r>
      <w:r w:rsidR="00CA07AF">
        <w:t>6</w:t>
      </w:r>
      <w:r>
        <w:t xml:space="preserve"> – Allocation </w:t>
      </w:r>
      <w:r w:rsidR="009842CB">
        <w:t>of Resources</w:t>
      </w:r>
    </w:p>
    <w:p w:rsidRPr="001525DA" w:rsidR="001525DA" w:rsidP="00780AF3" w:rsidRDefault="001525DA" w14:paraId="22C4D3D1" w14:textId="77777777">
      <w:pPr>
        <w:pStyle w:val="WRPPart"/>
        <w:spacing w:after="0" w:line="240" w:lineRule="auto"/>
        <w:jc w:val="both"/>
        <w:rPr>
          <w:rFonts w:eastAsiaTheme="minorEastAsia" w:cstheme="minorBidi"/>
          <w:b w:val="0"/>
          <w:bCs w:val="0"/>
          <w:color w:val="auto"/>
          <w:sz w:val="21"/>
          <w:szCs w:val="22"/>
        </w:rPr>
      </w:pPr>
      <w:r w:rsidRPr="001525DA">
        <w:rPr>
          <w:rFonts w:eastAsiaTheme="minorEastAsia" w:cstheme="minorBidi"/>
          <w:b w:val="0"/>
          <w:bCs w:val="0"/>
          <w:color w:val="auto"/>
          <w:sz w:val="21"/>
          <w:szCs w:val="22"/>
        </w:rPr>
        <w:t>WRP resources shall be allocated through approved workplans, ensuring equitable regional access and balanced investment across programme priorities.</w:t>
      </w:r>
    </w:p>
    <w:p w:rsidRPr="001525DA" w:rsidR="001525DA" w:rsidP="00780AF3" w:rsidRDefault="001525DA" w14:paraId="0E4524C8" w14:textId="360A75BE">
      <w:pPr>
        <w:pStyle w:val="WRPPart"/>
        <w:spacing w:after="0" w:line="240" w:lineRule="auto"/>
        <w:jc w:val="both"/>
        <w:rPr>
          <w:rFonts w:eastAsiaTheme="minorEastAsia" w:cstheme="minorBidi"/>
          <w:b w:val="0"/>
          <w:bCs w:val="0"/>
          <w:color w:val="auto"/>
          <w:sz w:val="21"/>
          <w:szCs w:val="22"/>
        </w:rPr>
      </w:pPr>
      <w:r w:rsidRPr="001525DA">
        <w:rPr>
          <w:rFonts w:eastAsiaTheme="minorEastAsia" w:cstheme="minorBidi"/>
          <w:b w:val="0"/>
          <w:bCs w:val="0"/>
          <w:color w:val="auto"/>
          <w:sz w:val="21"/>
          <w:szCs w:val="22"/>
        </w:rPr>
        <w:t>Allocations should be reflected in the approved Implementation Plan and Funded Work</w:t>
      </w:r>
      <w:r w:rsidR="005216D3">
        <w:rPr>
          <w:rFonts w:eastAsiaTheme="minorEastAsia" w:cstheme="minorBidi"/>
          <w:b w:val="0"/>
          <w:bCs w:val="0"/>
          <w:color w:val="auto"/>
          <w:sz w:val="21"/>
          <w:szCs w:val="22"/>
        </w:rPr>
        <w:t>p</w:t>
      </w:r>
      <w:r w:rsidRPr="001525DA">
        <w:rPr>
          <w:rFonts w:eastAsiaTheme="minorEastAsia" w:cstheme="minorBidi"/>
          <w:b w:val="0"/>
          <w:bCs w:val="0"/>
          <w:color w:val="auto"/>
          <w:sz w:val="21"/>
          <w:szCs w:val="22"/>
        </w:rPr>
        <w:t>lan, subject to valid in-year adjustments under the delegations of authority set out in the Operations Manual.</w:t>
      </w:r>
    </w:p>
    <w:p w:rsidRPr="001525DA" w:rsidR="001525DA" w:rsidP="00780AF3" w:rsidRDefault="001525DA" w14:paraId="69CCB779" w14:textId="77777777">
      <w:pPr>
        <w:pStyle w:val="WRPPart"/>
        <w:spacing w:after="0" w:line="240" w:lineRule="auto"/>
        <w:jc w:val="both"/>
        <w:rPr>
          <w:rFonts w:eastAsiaTheme="minorEastAsia" w:cstheme="minorBidi"/>
          <w:b w:val="0"/>
          <w:bCs w:val="0"/>
          <w:color w:val="auto"/>
          <w:sz w:val="21"/>
          <w:szCs w:val="22"/>
        </w:rPr>
      </w:pPr>
      <w:r w:rsidRPr="001525DA">
        <w:rPr>
          <w:rFonts w:eastAsiaTheme="minorEastAsia" w:cstheme="minorBidi"/>
          <w:b w:val="0"/>
          <w:bCs w:val="0"/>
          <w:color w:val="auto"/>
          <w:sz w:val="21"/>
          <w:szCs w:val="22"/>
        </w:rPr>
        <w:t>In allocating WRP resources, SPREP and the WRP governance bodies shall seek to optimise complementarity with existing national, regional and international investments relevant to climate information services, ocean and weather observation systems, early warning systems, anticipatory action and resilience finance, and to avoid material duplication of activities, assets or financing.</w:t>
      </w:r>
    </w:p>
    <w:p w:rsidRPr="001525DA" w:rsidR="001525DA" w:rsidP="00780AF3" w:rsidRDefault="001525DA" w14:paraId="4D70F72D" w14:textId="77777777">
      <w:pPr>
        <w:pStyle w:val="WRPPart"/>
        <w:spacing w:after="0" w:line="240" w:lineRule="auto"/>
        <w:jc w:val="both"/>
        <w:rPr>
          <w:rFonts w:eastAsiaTheme="minorEastAsia" w:cstheme="minorBidi"/>
          <w:b w:val="0"/>
          <w:bCs w:val="0"/>
          <w:color w:val="auto"/>
          <w:sz w:val="21"/>
          <w:szCs w:val="22"/>
        </w:rPr>
      </w:pPr>
      <w:r w:rsidRPr="001525DA">
        <w:rPr>
          <w:rFonts w:eastAsiaTheme="minorEastAsia" w:cstheme="minorBidi"/>
          <w:b w:val="0"/>
          <w:bCs w:val="0"/>
          <w:color w:val="auto"/>
          <w:sz w:val="21"/>
          <w:szCs w:val="22"/>
        </w:rPr>
        <w:t>Allocation and implementation decisions shall take into account implementation readiness, institutional capacity, fiduciary capability, operations-and-maintenance capacity and likely absorptive capacity at regional, national and local levels, and may be phased, sequenced or conditioned accordingly.</w:t>
      </w:r>
    </w:p>
    <w:p w:rsidRPr="001525DA" w:rsidR="001525DA" w:rsidP="00780AF3" w:rsidRDefault="001525DA" w14:paraId="57D79E36" w14:textId="77777777">
      <w:pPr>
        <w:pStyle w:val="WRPPart"/>
        <w:spacing w:after="0" w:line="240" w:lineRule="auto"/>
        <w:jc w:val="both"/>
        <w:rPr>
          <w:rFonts w:eastAsiaTheme="minorEastAsia" w:cstheme="minorBidi"/>
          <w:b w:val="0"/>
          <w:bCs w:val="0"/>
          <w:color w:val="auto"/>
          <w:sz w:val="21"/>
          <w:szCs w:val="22"/>
        </w:rPr>
      </w:pPr>
      <w:r w:rsidRPr="001525DA">
        <w:rPr>
          <w:rFonts w:eastAsiaTheme="minorEastAsia" w:cstheme="minorBidi"/>
          <w:b w:val="0"/>
          <w:bCs w:val="0"/>
          <w:color w:val="auto"/>
          <w:sz w:val="21"/>
          <w:szCs w:val="22"/>
        </w:rPr>
        <w:t>For material investments in equipment, infrastructure, services platforms or delivery systems, approval shall take into account lifecycle sustainability, including ownership, operations, maintenance, replacement planning, domestic budget implications, technical support arrangements and any realistic pathway to long-term financial sustainability.</w:t>
      </w:r>
    </w:p>
    <w:p w:rsidRPr="001525DA" w:rsidR="001525DA" w:rsidP="00780AF3" w:rsidRDefault="001525DA" w14:paraId="180C4533" w14:textId="5FDB0E89">
      <w:pPr>
        <w:pStyle w:val="WRPPart"/>
        <w:spacing w:after="0" w:line="240" w:lineRule="auto"/>
        <w:jc w:val="both"/>
        <w:rPr>
          <w:rFonts w:eastAsiaTheme="minorEastAsia" w:cstheme="minorBidi"/>
          <w:b w:val="0"/>
          <w:bCs w:val="0"/>
          <w:color w:val="auto"/>
          <w:sz w:val="21"/>
          <w:szCs w:val="22"/>
        </w:rPr>
      </w:pPr>
      <w:r w:rsidRPr="001525DA">
        <w:rPr>
          <w:rFonts w:eastAsiaTheme="minorEastAsia" w:cstheme="minorBidi"/>
          <w:b w:val="0"/>
          <w:bCs w:val="0"/>
          <w:color w:val="auto"/>
          <w:sz w:val="21"/>
          <w:szCs w:val="22"/>
        </w:rPr>
        <w:t xml:space="preserve">Implementation modality may include direct management, indirect management or shared management where appropriate, informed by due diligence, delivery capacity, </w:t>
      </w:r>
      <w:r w:rsidR="009B6B42">
        <w:rPr>
          <w:rFonts w:eastAsiaTheme="minorEastAsia" w:cstheme="minorBidi"/>
          <w:b w:val="0"/>
          <w:bCs w:val="0"/>
          <w:color w:val="auto"/>
          <w:sz w:val="21"/>
          <w:szCs w:val="22"/>
        </w:rPr>
        <w:t xml:space="preserve">and </w:t>
      </w:r>
      <w:r w:rsidRPr="001525DA">
        <w:rPr>
          <w:rFonts w:eastAsiaTheme="minorEastAsia" w:cstheme="minorBidi"/>
          <w:b w:val="0"/>
          <w:bCs w:val="0"/>
          <w:color w:val="auto"/>
          <w:sz w:val="21"/>
          <w:szCs w:val="22"/>
        </w:rPr>
        <w:t>risk.</w:t>
      </w:r>
    </w:p>
    <w:p w:rsidR="00C13414" w:rsidP="00780AF3" w:rsidRDefault="001525DA" w14:paraId="620BF668" w14:textId="38AB3A36">
      <w:pPr>
        <w:pStyle w:val="WRPPart"/>
        <w:spacing w:after="0" w:line="240" w:lineRule="auto"/>
        <w:jc w:val="both"/>
        <w:rPr>
          <w:rFonts w:eastAsiaTheme="minorEastAsia" w:cstheme="minorBidi"/>
          <w:b w:val="0"/>
          <w:bCs w:val="0"/>
          <w:color w:val="auto"/>
          <w:sz w:val="21"/>
          <w:szCs w:val="22"/>
        </w:rPr>
      </w:pPr>
      <w:r w:rsidRPr="001525DA">
        <w:rPr>
          <w:rFonts w:eastAsiaTheme="minorEastAsia" w:cstheme="minorBidi"/>
          <w:b w:val="0"/>
          <w:bCs w:val="0"/>
          <w:color w:val="auto"/>
          <w:sz w:val="21"/>
          <w:szCs w:val="22"/>
        </w:rPr>
        <w:t>Any receipts arising from approved reimbursable finance, cost-sharing, guarantee, revolving or revenue-generating activities undertaken for WRP purposes shall be paid into the WRP Pooled Fund and treated as WRP Funding for planning, allocation and reporting purposes</w:t>
      </w:r>
      <w:r w:rsidR="00CA07AF">
        <w:rPr>
          <w:rFonts w:eastAsiaTheme="minorEastAsia" w:cstheme="minorBidi"/>
          <w:b w:val="0"/>
          <w:bCs w:val="0"/>
          <w:color w:val="auto"/>
          <w:sz w:val="21"/>
          <w:szCs w:val="22"/>
        </w:rPr>
        <w:t>, unless otherwise agreed by the Steering Committee</w:t>
      </w:r>
      <w:r w:rsidRPr="001525DA">
        <w:rPr>
          <w:rFonts w:eastAsiaTheme="minorEastAsia" w:cstheme="minorBidi"/>
          <w:b w:val="0"/>
          <w:bCs w:val="0"/>
          <w:color w:val="auto"/>
          <w:sz w:val="21"/>
          <w:szCs w:val="22"/>
        </w:rPr>
        <w:t>.</w:t>
      </w:r>
      <w:r w:rsidR="00FC38BA">
        <w:rPr>
          <w:rFonts w:eastAsiaTheme="minorEastAsia" w:cstheme="minorBidi"/>
          <w:b w:val="0"/>
          <w:bCs w:val="0"/>
          <w:color w:val="auto"/>
          <w:sz w:val="21"/>
          <w:szCs w:val="22"/>
        </w:rPr>
        <w:t xml:space="preserve"> </w:t>
      </w:r>
    </w:p>
    <w:p w:rsidR="00780AF3" w:rsidP="00780AF3" w:rsidRDefault="00780AF3" w14:paraId="61FC769D" w14:textId="77777777">
      <w:pPr>
        <w:pStyle w:val="WRPArticle"/>
        <w:spacing w:before="0" w:after="0" w:line="240" w:lineRule="auto"/>
        <w:jc w:val="both"/>
      </w:pPr>
    </w:p>
    <w:p w:rsidR="00DE35F3" w:rsidP="00780AF3" w:rsidRDefault="00DE35F3" w14:paraId="24FACDCD" w14:textId="7F974EA0">
      <w:pPr>
        <w:pStyle w:val="WRPArticle"/>
        <w:spacing w:before="0" w:after="0" w:line="240" w:lineRule="auto"/>
        <w:jc w:val="both"/>
      </w:pPr>
      <w:r w:rsidRPr="00780AF3">
        <w:t xml:space="preserve">Article </w:t>
      </w:r>
      <w:r w:rsidRPr="00780AF3" w:rsidR="005216D3">
        <w:t>1</w:t>
      </w:r>
      <w:r w:rsidR="00CA07AF">
        <w:t>7</w:t>
      </w:r>
      <w:r w:rsidRPr="00780AF3" w:rsidR="005216D3">
        <w:t xml:space="preserve"> </w:t>
      </w:r>
      <w:r w:rsidRPr="00780AF3">
        <w:t xml:space="preserve">– </w:t>
      </w:r>
      <w:r>
        <w:t>Flexible and Ineligible Uses</w:t>
      </w:r>
    </w:p>
    <w:p w:rsidRPr="00780AF3" w:rsidR="00DE35F3" w:rsidP="00780AF3" w:rsidRDefault="00DE35F3" w14:paraId="40BD0F62" w14:textId="77777777">
      <w:pPr>
        <w:pStyle w:val="WRPPart"/>
        <w:spacing w:before="0" w:after="0" w:line="240" w:lineRule="auto"/>
        <w:jc w:val="both"/>
        <w:rPr>
          <w:rFonts w:eastAsiaTheme="minorEastAsia" w:cstheme="minorBidi"/>
          <w:b w:val="0"/>
          <w:bCs w:val="0"/>
          <w:color w:val="auto"/>
          <w:sz w:val="21"/>
          <w:szCs w:val="22"/>
        </w:rPr>
      </w:pPr>
    </w:p>
    <w:p w:rsidR="00DE35F3" w:rsidP="00780AF3" w:rsidRDefault="00DE35F3" w14:paraId="0BE80746" w14:textId="7959E758">
      <w:pPr>
        <w:pStyle w:val="WRPPart"/>
        <w:spacing w:before="0" w:after="0" w:line="240" w:lineRule="auto"/>
        <w:jc w:val="both"/>
        <w:rPr>
          <w:rFonts w:eastAsiaTheme="minorEastAsia" w:cstheme="minorBidi"/>
          <w:b w:val="0"/>
          <w:bCs w:val="0"/>
          <w:color w:val="auto"/>
          <w:sz w:val="21"/>
          <w:szCs w:val="22"/>
        </w:rPr>
      </w:pPr>
      <w:r w:rsidRPr="00780AF3">
        <w:rPr>
          <w:rFonts w:eastAsiaTheme="minorEastAsia" w:cstheme="minorBidi"/>
          <w:b w:val="0"/>
          <w:bCs w:val="0"/>
          <w:color w:val="auto"/>
          <w:sz w:val="21"/>
          <w:szCs w:val="22"/>
        </w:rPr>
        <w:t xml:space="preserve">WRP </w:t>
      </w:r>
      <w:r w:rsidR="009B6B42">
        <w:rPr>
          <w:rFonts w:eastAsiaTheme="minorEastAsia" w:cstheme="minorBidi"/>
          <w:b w:val="0"/>
          <w:bCs w:val="0"/>
          <w:color w:val="auto"/>
          <w:sz w:val="21"/>
          <w:szCs w:val="22"/>
        </w:rPr>
        <w:t>F</w:t>
      </w:r>
      <w:r w:rsidRPr="00780AF3">
        <w:rPr>
          <w:rFonts w:eastAsiaTheme="minorEastAsia" w:cstheme="minorBidi"/>
          <w:b w:val="0"/>
          <w:bCs w:val="0"/>
          <w:color w:val="auto"/>
          <w:sz w:val="21"/>
          <w:szCs w:val="22"/>
        </w:rPr>
        <w:t>unding may only be used for approved WRP purposes consistent with this Charter, the Operations Manual, the Implementation Plan, the Funded Work</w:t>
      </w:r>
      <w:r w:rsidR="003A2A9A">
        <w:rPr>
          <w:rFonts w:eastAsiaTheme="minorEastAsia" w:cstheme="minorBidi"/>
          <w:b w:val="0"/>
          <w:bCs w:val="0"/>
          <w:color w:val="auto"/>
          <w:sz w:val="21"/>
          <w:szCs w:val="22"/>
        </w:rPr>
        <w:t>p</w:t>
      </w:r>
      <w:r w:rsidRPr="00780AF3">
        <w:rPr>
          <w:rFonts w:eastAsiaTheme="minorEastAsia" w:cstheme="minorBidi"/>
          <w:b w:val="0"/>
          <w:bCs w:val="0"/>
          <w:color w:val="auto"/>
          <w:sz w:val="21"/>
          <w:szCs w:val="22"/>
        </w:rPr>
        <w:t xml:space="preserve">lan and applicable SPREP </w:t>
      </w:r>
      <w:r w:rsidR="000C78CC">
        <w:rPr>
          <w:rFonts w:eastAsiaTheme="minorEastAsia" w:cstheme="minorBidi"/>
          <w:b w:val="0"/>
          <w:bCs w:val="0"/>
          <w:color w:val="auto"/>
          <w:sz w:val="21"/>
          <w:szCs w:val="22"/>
        </w:rPr>
        <w:t>Policies</w:t>
      </w:r>
      <w:r w:rsidRPr="00780AF3">
        <w:rPr>
          <w:rFonts w:eastAsiaTheme="minorEastAsia" w:cstheme="minorBidi"/>
          <w:b w:val="0"/>
          <w:bCs w:val="0"/>
          <w:color w:val="auto"/>
          <w:sz w:val="21"/>
          <w:szCs w:val="22"/>
        </w:rPr>
        <w:t xml:space="preserve">. </w:t>
      </w:r>
      <w:r w:rsidR="00F52568">
        <w:rPr>
          <w:rFonts w:eastAsiaTheme="minorEastAsia" w:cstheme="minorBidi"/>
          <w:b w:val="0"/>
          <w:bCs w:val="0"/>
          <w:color w:val="auto"/>
          <w:sz w:val="21"/>
          <w:szCs w:val="22"/>
        </w:rPr>
        <w:t xml:space="preserve">WRP Funding </w:t>
      </w:r>
      <w:r w:rsidR="007D3ADE">
        <w:rPr>
          <w:rFonts w:eastAsiaTheme="minorEastAsia" w:cstheme="minorBidi"/>
          <w:b w:val="0"/>
          <w:bCs w:val="0"/>
          <w:color w:val="auto"/>
          <w:sz w:val="21"/>
          <w:szCs w:val="22"/>
        </w:rPr>
        <w:t>shall not be used for any illegal, corrupt or unethical practice.</w:t>
      </w:r>
    </w:p>
    <w:p w:rsidR="00DE35F3" w:rsidP="00780AF3" w:rsidRDefault="00DE35F3" w14:paraId="3E8705F9" w14:textId="77777777">
      <w:pPr>
        <w:pStyle w:val="WRPPart"/>
        <w:spacing w:before="0" w:after="0" w:line="240" w:lineRule="auto"/>
        <w:jc w:val="both"/>
        <w:rPr>
          <w:rFonts w:eastAsiaTheme="minorEastAsia" w:cstheme="minorBidi"/>
          <w:b w:val="0"/>
          <w:bCs w:val="0"/>
          <w:color w:val="auto"/>
          <w:sz w:val="21"/>
          <w:szCs w:val="22"/>
        </w:rPr>
      </w:pPr>
    </w:p>
    <w:p w:rsidR="00DE35F3" w:rsidP="00780AF3" w:rsidRDefault="00DE35F3" w14:paraId="5318F4A1" w14:textId="6AB0422A">
      <w:pPr>
        <w:pStyle w:val="WRPArticle"/>
        <w:spacing w:before="0" w:after="0" w:line="240" w:lineRule="auto"/>
        <w:jc w:val="both"/>
      </w:pPr>
      <w:r w:rsidRPr="00780AF3">
        <w:t xml:space="preserve">Article </w:t>
      </w:r>
      <w:r w:rsidRPr="00780AF3" w:rsidR="007D3ADE">
        <w:t>1</w:t>
      </w:r>
      <w:r w:rsidR="00CA07AF">
        <w:t>8</w:t>
      </w:r>
      <w:r w:rsidRPr="00780AF3" w:rsidR="007D3ADE">
        <w:t xml:space="preserve"> </w:t>
      </w:r>
      <w:r w:rsidRPr="00780AF3">
        <w:t>– Drawdown/Commitment/Spent</w:t>
      </w:r>
    </w:p>
    <w:p w:rsidRPr="00780AF3" w:rsidR="00DE35F3" w:rsidP="00780AF3" w:rsidRDefault="00DE35F3" w14:paraId="42F403C8" w14:textId="77777777">
      <w:pPr>
        <w:pStyle w:val="WRPPart"/>
        <w:spacing w:before="0" w:after="0" w:line="240" w:lineRule="auto"/>
        <w:jc w:val="both"/>
        <w:rPr>
          <w:rFonts w:eastAsiaTheme="minorEastAsia" w:cstheme="minorBidi"/>
          <w:b w:val="0"/>
          <w:bCs w:val="0"/>
          <w:color w:val="auto"/>
          <w:sz w:val="21"/>
          <w:szCs w:val="22"/>
        </w:rPr>
      </w:pPr>
    </w:p>
    <w:p w:rsidRPr="00DE35F3" w:rsidR="00DE35F3" w:rsidP="00DE35F3" w:rsidRDefault="00DE35F3" w14:paraId="1F159FD3" w14:textId="3CD20AB3">
      <w:pPr>
        <w:pStyle w:val="WRPPart"/>
        <w:pBdr>
          <w:bottom w:val="single" w:color="B7C4D6" w:sz="6" w:space="1"/>
        </w:pBdr>
        <w:spacing w:before="0" w:after="0" w:line="240" w:lineRule="auto"/>
        <w:jc w:val="both"/>
        <w:rPr>
          <w:rFonts w:eastAsiaTheme="minorEastAsia" w:cstheme="minorBidi"/>
          <w:b w:val="0"/>
          <w:bCs w:val="0"/>
          <w:color w:val="auto"/>
          <w:sz w:val="21"/>
          <w:szCs w:val="22"/>
        </w:rPr>
      </w:pPr>
      <w:r w:rsidRPr="00780AF3">
        <w:rPr>
          <w:rFonts w:eastAsiaTheme="minorEastAsia" w:cstheme="minorBidi"/>
          <w:b w:val="0"/>
          <w:bCs w:val="0"/>
          <w:color w:val="auto"/>
          <w:sz w:val="21"/>
          <w:szCs w:val="22"/>
        </w:rPr>
        <w:t>WRP shall manage</w:t>
      </w:r>
      <w:r w:rsidR="00CA07AF">
        <w:rPr>
          <w:rFonts w:eastAsiaTheme="minorEastAsia" w:cstheme="minorBidi"/>
          <w:b w:val="0"/>
          <w:bCs w:val="0"/>
          <w:color w:val="auto"/>
          <w:sz w:val="21"/>
          <w:szCs w:val="22"/>
        </w:rPr>
        <w:t xml:space="preserve"> Pooled Funding and Ringfenced Funding</w:t>
      </w:r>
      <w:r w:rsidRPr="00780AF3">
        <w:rPr>
          <w:rFonts w:eastAsiaTheme="minorEastAsia" w:cstheme="minorBidi"/>
          <w:b w:val="0"/>
          <w:bCs w:val="0"/>
          <w:color w:val="auto"/>
          <w:sz w:val="21"/>
          <w:szCs w:val="22"/>
        </w:rPr>
        <w:t xml:space="preserve"> in a manner consistent with prudent cash management, implementation needs and applicable funding instruments. The Operations Manual may specify when </w:t>
      </w:r>
      <w:r w:rsidR="009B6B42">
        <w:rPr>
          <w:rFonts w:eastAsiaTheme="minorEastAsia" w:cstheme="minorBidi"/>
          <w:b w:val="0"/>
          <w:bCs w:val="0"/>
          <w:color w:val="auto"/>
          <w:sz w:val="21"/>
          <w:szCs w:val="22"/>
        </w:rPr>
        <w:t xml:space="preserve">WRP </w:t>
      </w:r>
      <w:r w:rsidRPr="00780AF3">
        <w:rPr>
          <w:rFonts w:eastAsiaTheme="minorEastAsia" w:cstheme="minorBidi"/>
          <w:b w:val="0"/>
          <w:bCs w:val="0"/>
          <w:color w:val="auto"/>
          <w:sz w:val="21"/>
          <w:szCs w:val="22"/>
        </w:rPr>
        <w:t>funds are regarded as required, committed or spent for drawdown, holding and reporting purposes, which may include approved contractual commitments, grant commitments or other binding financial obligations and not only cash disbursement.</w:t>
      </w:r>
      <w:r w:rsidR="009B6B42">
        <w:rPr>
          <w:rFonts w:eastAsiaTheme="minorEastAsia" w:cstheme="minorBidi"/>
          <w:b w:val="0"/>
          <w:bCs w:val="0"/>
          <w:color w:val="auto"/>
          <w:sz w:val="21"/>
          <w:szCs w:val="22"/>
        </w:rPr>
        <w:t xml:space="preserve"> </w:t>
      </w:r>
    </w:p>
    <w:p w:rsidR="001525DA" w:rsidP="001525DA" w:rsidRDefault="001525DA" w14:paraId="3B1B387E" w14:textId="77777777">
      <w:pPr>
        <w:pStyle w:val="WRPPart"/>
        <w:pBdr>
          <w:bottom w:val="single" w:color="B7C4D6" w:sz="6" w:space="1"/>
        </w:pBdr>
        <w:spacing w:before="0" w:after="0" w:line="240" w:lineRule="auto"/>
        <w:jc w:val="both"/>
      </w:pPr>
    </w:p>
    <w:p w:rsidR="0037504C" w:rsidP="000A7C59" w:rsidRDefault="00A25540" w14:paraId="412D8FB5" w14:textId="0BF79DEB">
      <w:pPr>
        <w:pStyle w:val="WRPPart"/>
        <w:pBdr>
          <w:bottom w:val="single" w:color="B7C4D6" w:sz="6" w:space="1"/>
        </w:pBdr>
        <w:spacing w:before="0" w:after="0" w:line="240" w:lineRule="auto"/>
        <w:jc w:val="both"/>
      </w:pPr>
      <w:r>
        <w:t>PART V – FINANCIAL STEWARDSHIP AND ACCOUNTABILITY</w:t>
      </w:r>
    </w:p>
    <w:p w:rsidR="000A7C59" w:rsidP="000A7C59" w:rsidRDefault="000A7C59" w14:paraId="21533BF0" w14:textId="77777777">
      <w:pPr>
        <w:pStyle w:val="WRPArticle"/>
        <w:spacing w:before="0" w:after="0" w:line="240" w:lineRule="auto"/>
        <w:jc w:val="both"/>
      </w:pPr>
    </w:p>
    <w:p w:rsidR="0037504C" w:rsidP="000A7C59" w:rsidRDefault="00A25540" w14:paraId="0BEED9DD" w14:textId="60F14F04">
      <w:pPr>
        <w:pStyle w:val="WRPArticle"/>
        <w:spacing w:before="0" w:after="0" w:line="240" w:lineRule="auto"/>
        <w:jc w:val="both"/>
      </w:pPr>
      <w:r>
        <w:t xml:space="preserve">Article </w:t>
      </w:r>
      <w:r w:rsidR="00CA07AF">
        <w:t>19</w:t>
      </w:r>
      <w:r w:rsidR="008C04F3">
        <w:t xml:space="preserve"> </w:t>
      </w:r>
      <w:r>
        <w:t>– Financial Governance</w:t>
      </w:r>
    </w:p>
    <w:p w:rsidR="000A7C59" w:rsidP="000A7C59" w:rsidRDefault="000A7C59" w14:paraId="5A39FAED" w14:textId="77777777">
      <w:pPr>
        <w:spacing w:after="0" w:line="240" w:lineRule="auto"/>
        <w:jc w:val="both"/>
      </w:pPr>
    </w:p>
    <w:p w:rsidR="0037504C" w:rsidP="000A7C59" w:rsidRDefault="00A25540" w14:paraId="6528B538" w14:textId="03A1ECE1">
      <w:pPr>
        <w:spacing w:after="0" w:line="240" w:lineRule="auto"/>
        <w:jc w:val="both"/>
      </w:pPr>
      <w:r>
        <w:t>All financial resources shall be managed in accordance with SPREP Financial Regulations, ensuring integrity, transparency and accountability.</w:t>
      </w:r>
    </w:p>
    <w:p w:rsidR="000A7C59" w:rsidP="000A7C59" w:rsidRDefault="000A7C59" w14:paraId="53B666B9" w14:textId="77777777">
      <w:pPr>
        <w:spacing w:after="0" w:line="240" w:lineRule="auto"/>
        <w:jc w:val="both"/>
      </w:pPr>
    </w:p>
    <w:p w:rsidR="0037504C" w:rsidP="000A7C59" w:rsidRDefault="00A25540" w14:paraId="65BD1F8D" w14:textId="42FF9A92">
      <w:pPr>
        <w:spacing w:after="0" w:line="240" w:lineRule="auto"/>
        <w:jc w:val="both"/>
      </w:pPr>
      <w:r>
        <w:lastRenderedPageBreak/>
        <w:t xml:space="preserve">Payments shall be supported by appropriate vouchers and documentary evidence. Bank signatory, approval and payment arrangements shall follow SPREP </w:t>
      </w:r>
      <w:r w:rsidR="00EB5A85">
        <w:t xml:space="preserve">financial </w:t>
      </w:r>
      <w:r>
        <w:t xml:space="preserve">delegated authority requirements. Reallocations and virements shall be undertaken only in accordance with approved budgets, </w:t>
      </w:r>
      <w:r w:rsidR="008C04F3">
        <w:t>WRP D</w:t>
      </w:r>
      <w:r>
        <w:t>onor conditions and SPREP rules.</w:t>
      </w:r>
    </w:p>
    <w:p w:rsidR="000A7C59" w:rsidP="000A7C59" w:rsidRDefault="000A7C59" w14:paraId="7C3919FE" w14:textId="77777777">
      <w:pPr>
        <w:spacing w:after="0" w:line="240" w:lineRule="auto"/>
        <w:jc w:val="both"/>
      </w:pPr>
    </w:p>
    <w:p w:rsidR="0037504C" w:rsidP="000A7C59" w:rsidRDefault="00A25540" w14:paraId="237047E1" w14:textId="62D9A47C">
      <w:pPr>
        <w:spacing w:after="0" w:line="240" w:lineRule="auto"/>
        <w:jc w:val="both"/>
      </w:pPr>
      <w:r>
        <w:t>WRP financial planning, coding, tracking and reporting shall be undertaken through the approved SPREP finance system and WRP programme management tools</w:t>
      </w:r>
      <w:r w:rsidR="003B2459">
        <w:t xml:space="preserve"> set out in the Operations Manual</w:t>
      </w:r>
      <w:r>
        <w:t>.</w:t>
      </w:r>
    </w:p>
    <w:p w:rsidR="000A7C59" w:rsidP="000A7C59" w:rsidRDefault="000A7C59" w14:paraId="69134288" w14:textId="77777777">
      <w:pPr>
        <w:pStyle w:val="WRPArticle"/>
        <w:spacing w:before="0" w:after="0" w:line="240" w:lineRule="auto"/>
        <w:jc w:val="both"/>
      </w:pPr>
    </w:p>
    <w:p w:rsidR="0037504C" w:rsidP="000A7C59" w:rsidRDefault="00A25540" w14:paraId="25824C8B" w14:textId="24712C10">
      <w:pPr>
        <w:pStyle w:val="WRPArticle"/>
        <w:spacing w:before="0" w:after="0" w:line="240" w:lineRule="auto"/>
        <w:jc w:val="both"/>
      </w:pPr>
      <w:r>
        <w:t xml:space="preserve">Article </w:t>
      </w:r>
      <w:r w:rsidR="008C04F3">
        <w:t>2</w:t>
      </w:r>
      <w:r w:rsidR="00CA07AF">
        <w:t>0</w:t>
      </w:r>
      <w:r w:rsidR="008C04F3">
        <w:t xml:space="preserve"> </w:t>
      </w:r>
      <w:r>
        <w:t>– Procurement, Due Diligence and Sub-delegation Controls</w:t>
      </w:r>
    </w:p>
    <w:p w:rsidR="000A7C59" w:rsidP="000A7C59" w:rsidRDefault="000A7C59" w14:paraId="5B395E41" w14:textId="77777777">
      <w:pPr>
        <w:spacing w:after="0" w:line="240" w:lineRule="auto"/>
        <w:jc w:val="both"/>
      </w:pPr>
    </w:p>
    <w:p w:rsidR="0037504C" w:rsidP="000A7C59" w:rsidRDefault="00A25540" w14:paraId="12BF471E" w14:textId="3626A1F6">
      <w:pPr>
        <w:spacing w:after="0" w:line="240" w:lineRule="auto"/>
        <w:jc w:val="both"/>
      </w:pPr>
      <w:r>
        <w:t xml:space="preserve">Procurement </w:t>
      </w:r>
      <w:r w:rsidR="008652FA">
        <w:t xml:space="preserve">for </w:t>
      </w:r>
      <w:r>
        <w:t>WRP</w:t>
      </w:r>
      <w:r w:rsidR="008652FA">
        <w:t xml:space="preserve"> activities</w:t>
      </w:r>
      <w:r>
        <w:t xml:space="preserve"> shall </w:t>
      </w:r>
      <w:r w:rsidR="008652FA">
        <w:t>be in accordance with</w:t>
      </w:r>
      <w:r>
        <w:t xml:space="preserve"> the SPREP Procurement Policy and Procedure Manual.</w:t>
      </w:r>
    </w:p>
    <w:p w:rsidR="000A7C59" w:rsidP="000A7C59" w:rsidRDefault="000A7C59" w14:paraId="6C895624" w14:textId="77777777">
      <w:pPr>
        <w:spacing w:after="0" w:line="240" w:lineRule="auto"/>
        <w:jc w:val="both"/>
      </w:pPr>
    </w:p>
    <w:p w:rsidR="0037504C" w:rsidP="000A7C59" w:rsidRDefault="00A25540" w14:paraId="4F17FC79" w14:textId="24B432F6">
      <w:pPr>
        <w:spacing w:after="0" w:line="240" w:lineRule="auto"/>
        <w:jc w:val="both"/>
      </w:pPr>
      <w:r>
        <w:t xml:space="preserve">SPREP and WRP executing </w:t>
      </w:r>
      <w:r w:rsidR="004774C7">
        <w:t xml:space="preserve">agencies </w:t>
      </w:r>
      <w:r>
        <w:t>shall undertake proportionate due diligence before entering into contracts or implementation arrangements, including identity checks, financial and reputation checks where relevant, conflict-of-interest assessment, checks against applicable sanctions lists, and assessment of the proposed implementation modality, including any sub-delegation or subcontracting arrangements.</w:t>
      </w:r>
    </w:p>
    <w:p w:rsidR="000A7C59" w:rsidP="000A7C59" w:rsidRDefault="000A7C59" w14:paraId="71563B7E" w14:textId="77777777">
      <w:pPr>
        <w:spacing w:after="0" w:line="240" w:lineRule="auto"/>
        <w:jc w:val="both"/>
      </w:pPr>
    </w:p>
    <w:p w:rsidR="0037504C" w:rsidP="000A7C59" w:rsidRDefault="00A25540" w14:paraId="663D9F19" w14:textId="3013D658">
      <w:pPr>
        <w:spacing w:after="0" w:line="240" w:lineRule="auto"/>
        <w:jc w:val="both"/>
      </w:pPr>
      <w:r>
        <w:t xml:space="preserve">Where SPREP sub-delegates activities to an executing </w:t>
      </w:r>
      <w:r w:rsidR="004774C7">
        <w:t>agency</w:t>
      </w:r>
      <w:r>
        <w:t>, the relevant agreement shall clearly require compliance with appropriate procurement rules and provide for SPREP oversight, monitoring, capacity support and, where necessary, step-in arrangements.</w:t>
      </w:r>
    </w:p>
    <w:p w:rsidR="008748F0" w:rsidP="000A7C59" w:rsidRDefault="008748F0" w14:paraId="6A2DDEAD" w14:textId="77777777">
      <w:pPr>
        <w:spacing w:after="0" w:line="240" w:lineRule="auto"/>
        <w:jc w:val="both"/>
      </w:pPr>
    </w:p>
    <w:p w:rsidR="008748F0" w:rsidP="000A7C59" w:rsidRDefault="008748F0" w14:paraId="653EC9F6" w14:textId="0412B2AF">
      <w:pPr>
        <w:spacing w:after="0" w:line="240" w:lineRule="auto"/>
        <w:jc w:val="both"/>
      </w:pPr>
      <w:r w:rsidRPr="008748F0">
        <w:t xml:space="preserve">Relevant WRP agreements and procedures shall also address, where applicable, management of actual or potential conflicts of interest, ownership and transfer of assets, ownership and permitted use of intellectual property and data rights, disclosure and access to information, and any tax or customs implications associated with WRP-funded procurements or transfers. SPREP shall also consider, where material risks arise, whether any insurance or other risk-transfer arrangements are appropriate in connection with WRP </w:t>
      </w:r>
      <w:r w:rsidR="00CA1CEF">
        <w:t>F</w:t>
      </w:r>
      <w:r w:rsidRPr="008748F0">
        <w:t>unding, activities or assets.</w:t>
      </w:r>
    </w:p>
    <w:p w:rsidR="000A7C59" w:rsidP="000A7C59" w:rsidRDefault="000A7C59" w14:paraId="6ACD3605" w14:textId="77777777">
      <w:pPr>
        <w:pStyle w:val="WRPArticle"/>
        <w:spacing w:before="0" w:after="0" w:line="240" w:lineRule="auto"/>
        <w:jc w:val="both"/>
      </w:pPr>
    </w:p>
    <w:p w:rsidR="0037504C" w:rsidP="000A7C59" w:rsidRDefault="00A25540" w14:paraId="4E246C0B" w14:textId="5C5D8657">
      <w:pPr>
        <w:pStyle w:val="WRPArticle"/>
        <w:spacing w:before="0" w:after="0" w:line="240" w:lineRule="auto"/>
        <w:jc w:val="both"/>
      </w:pPr>
      <w:r>
        <w:t xml:space="preserve">Article </w:t>
      </w:r>
      <w:r w:rsidR="009D58ED">
        <w:t>2</w:t>
      </w:r>
      <w:r w:rsidR="00CA07AF">
        <w:t>1</w:t>
      </w:r>
      <w:r w:rsidR="009D58ED">
        <w:t xml:space="preserve"> </w:t>
      </w:r>
      <w:r>
        <w:t xml:space="preserve">– </w:t>
      </w:r>
      <w:r w:rsidR="009B1344">
        <w:t>Unified</w:t>
      </w:r>
      <w:r>
        <w:t xml:space="preserve"> Reporting </w:t>
      </w:r>
    </w:p>
    <w:p w:rsidR="000A7C59" w:rsidP="000A7C59" w:rsidRDefault="000A7C59" w14:paraId="1E8FA2BE" w14:textId="77777777">
      <w:pPr>
        <w:spacing w:after="0" w:line="240" w:lineRule="auto"/>
        <w:jc w:val="both"/>
      </w:pPr>
    </w:p>
    <w:p w:rsidR="0037504C" w:rsidP="000A7C59" w:rsidRDefault="00A25540" w14:paraId="6651B1A5" w14:textId="1F20A176">
      <w:pPr>
        <w:spacing w:after="0" w:line="240" w:lineRule="auto"/>
        <w:jc w:val="both"/>
      </w:pPr>
      <w:r>
        <w:t xml:space="preserve">WRP shall maintain a unified reporting framework covering </w:t>
      </w:r>
      <w:r w:rsidR="00921BCD">
        <w:t xml:space="preserve">all </w:t>
      </w:r>
      <w:r>
        <w:t>funding modalities to reduce administrative burden and enhance oversight.</w:t>
      </w:r>
    </w:p>
    <w:p w:rsidR="000A7C59" w:rsidP="000A7C59" w:rsidRDefault="000A7C59" w14:paraId="7EE8B80E" w14:textId="77777777">
      <w:pPr>
        <w:spacing w:after="0" w:line="240" w:lineRule="auto"/>
        <w:jc w:val="both"/>
      </w:pPr>
    </w:p>
    <w:p w:rsidR="0037504C" w:rsidP="000A7C59" w:rsidRDefault="00A25540" w14:paraId="6718E400" w14:textId="330F8D5E">
      <w:pPr>
        <w:spacing w:after="0" w:line="240" w:lineRule="auto"/>
        <w:jc w:val="both"/>
      </w:pPr>
      <w:r>
        <w:t xml:space="preserve">Reporting arrangements </w:t>
      </w:r>
      <w:r w:rsidR="00921BCD">
        <w:t xml:space="preserve">shall </w:t>
      </w:r>
      <w:r>
        <w:t xml:space="preserve">include common formats for narrative progress, results, financial expenditure, forecast use of funds, </w:t>
      </w:r>
      <w:r w:rsidR="00921BCD">
        <w:t xml:space="preserve">and </w:t>
      </w:r>
      <w:r>
        <w:t xml:space="preserve">risk reporting. </w:t>
      </w:r>
      <w:r w:rsidR="00F13C6E">
        <w:t xml:space="preserve"> If a</w:t>
      </w:r>
      <w:r>
        <w:t xml:space="preserve">dditional </w:t>
      </w:r>
      <w:r w:rsidR="009D58ED">
        <w:t>WRP D</w:t>
      </w:r>
      <w:r>
        <w:t xml:space="preserve">onor-specific reporting </w:t>
      </w:r>
      <w:r w:rsidR="00F13C6E">
        <w:t xml:space="preserve">is required, this </w:t>
      </w:r>
      <w:r w:rsidR="008E6613">
        <w:t xml:space="preserve">shall </w:t>
      </w:r>
      <w:r w:rsidR="00F13C6E">
        <w:t>be incorporated into the</w:t>
      </w:r>
      <w:r w:rsidR="00362AB7">
        <w:t xml:space="preserve"> WRP</w:t>
      </w:r>
      <w:r w:rsidR="00F13C6E">
        <w:t xml:space="preserve"> unified</w:t>
      </w:r>
      <w:r>
        <w:t xml:space="preserve"> </w:t>
      </w:r>
      <w:r w:rsidR="00F13C6E">
        <w:t xml:space="preserve">reporting </w:t>
      </w:r>
      <w:r w:rsidR="008E6613">
        <w:t xml:space="preserve">framework only when approved in </w:t>
      </w:r>
      <w:r w:rsidR="004F4580">
        <w:t xml:space="preserve">accordance with WRP governance arrangements. </w:t>
      </w:r>
    </w:p>
    <w:p w:rsidR="000A7C59" w:rsidP="000A7C59" w:rsidRDefault="000A7C59" w14:paraId="67A9EEC5" w14:textId="77777777">
      <w:pPr>
        <w:spacing w:after="0" w:line="240" w:lineRule="auto"/>
        <w:jc w:val="both"/>
      </w:pPr>
    </w:p>
    <w:p w:rsidR="0037504C" w:rsidP="000A7C59" w:rsidRDefault="00A25540" w14:paraId="40EFC4C4" w14:textId="4E1F2466">
      <w:pPr>
        <w:spacing w:after="0" w:line="240" w:lineRule="auto"/>
        <w:jc w:val="both"/>
      </w:pPr>
      <w:r>
        <w:t xml:space="preserve">The </w:t>
      </w:r>
      <w:r w:rsidR="00362AB7">
        <w:t xml:space="preserve">WRP </w:t>
      </w:r>
      <w:r>
        <w:t xml:space="preserve">unified reporting framework </w:t>
      </w:r>
      <w:r w:rsidR="00362AB7">
        <w:t xml:space="preserve">shall </w:t>
      </w:r>
      <w:r>
        <w:t xml:space="preserve">align with the WRP Steering Committee cycle, the WRP MERL framework, and the approved </w:t>
      </w:r>
      <w:r w:rsidR="004F4580">
        <w:t xml:space="preserve">WRP </w:t>
      </w:r>
      <w:r>
        <w:t>programme management and reporting tools.</w:t>
      </w:r>
    </w:p>
    <w:p w:rsidR="008748F0" w:rsidP="000A7C59" w:rsidRDefault="008748F0" w14:paraId="29BF9A1B" w14:textId="77777777">
      <w:pPr>
        <w:spacing w:after="0" w:line="240" w:lineRule="auto"/>
        <w:jc w:val="both"/>
      </w:pPr>
    </w:p>
    <w:p w:rsidR="008748F0" w:rsidP="000A7C59" w:rsidRDefault="008748F0" w14:paraId="6BB469C2" w14:textId="58318176">
      <w:pPr>
        <w:spacing w:after="0" w:line="240" w:lineRule="auto"/>
        <w:jc w:val="both"/>
      </w:pPr>
      <w:r w:rsidRPr="008748F0">
        <w:t xml:space="preserve">The unified reporting framework may include standardised </w:t>
      </w:r>
      <w:r w:rsidR="009D58ED">
        <w:t>WRP D</w:t>
      </w:r>
      <w:r w:rsidRPr="008748F0">
        <w:t xml:space="preserve">onor reporting templates, grant reporting templates, acquittal forms and other approved reporting products required to support </w:t>
      </w:r>
      <w:r w:rsidR="00EB5A85">
        <w:t>the WRP P</w:t>
      </w:r>
      <w:r w:rsidRPr="008748F0">
        <w:t xml:space="preserve">ooled </w:t>
      </w:r>
      <w:r w:rsidR="00EB5A85">
        <w:t>Fund</w:t>
      </w:r>
      <w:r w:rsidRPr="008748F0">
        <w:t xml:space="preserve">, </w:t>
      </w:r>
      <w:r w:rsidR="00F87CF4">
        <w:t>R</w:t>
      </w:r>
      <w:r w:rsidRPr="008748F0">
        <w:t xml:space="preserve">ingfenced </w:t>
      </w:r>
      <w:r w:rsidR="00F87CF4">
        <w:t>F</w:t>
      </w:r>
      <w:r w:rsidRPr="008748F0">
        <w:t xml:space="preserve">unding, </w:t>
      </w:r>
      <w:r w:rsidR="00EB5A85">
        <w:t xml:space="preserve">any </w:t>
      </w:r>
      <w:r w:rsidR="00CA1CEF">
        <w:t>O</w:t>
      </w:r>
      <w:r w:rsidRPr="008748F0">
        <w:t xml:space="preserve">ther </w:t>
      </w:r>
      <w:r w:rsidR="00CA1CEF">
        <w:t>S</w:t>
      </w:r>
      <w:r w:rsidRPr="008748F0">
        <w:t xml:space="preserve">upport and any disbursements made by SPREP using WRP </w:t>
      </w:r>
      <w:r w:rsidR="00EB5A85">
        <w:t>F</w:t>
      </w:r>
      <w:r w:rsidRPr="008748F0">
        <w:t>und</w:t>
      </w:r>
      <w:r w:rsidR="00C323B2">
        <w:t>ing</w:t>
      </w:r>
      <w:r w:rsidRPr="008748F0">
        <w:t>.</w:t>
      </w:r>
    </w:p>
    <w:p w:rsidR="000A7C59" w:rsidP="000A7C59" w:rsidRDefault="000A7C59" w14:paraId="341DAA82" w14:textId="77777777">
      <w:pPr>
        <w:pStyle w:val="WRPArticle"/>
        <w:spacing w:before="0" w:after="0" w:line="240" w:lineRule="auto"/>
        <w:jc w:val="both"/>
      </w:pPr>
    </w:p>
    <w:p w:rsidR="0037504C" w:rsidP="000A7C59" w:rsidRDefault="00A25540" w14:paraId="495C7B34" w14:textId="7E4079A2">
      <w:pPr>
        <w:pStyle w:val="WRPArticle"/>
        <w:spacing w:before="0" w:after="0" w:line="240" w:lineRule="auto"/>
        <w:jc w:val="both"/>
      </w:pPr>
      <w:r>
        <w:t xml:space="preserve">Article </w:t>
      </w:r>
      <w:r w:rsidR="000A621E">
        <w:t>2</w:t>
      </w:r>
      <w:r w:rsidR="00A26A70">
        <w:t>2</w:t>
      </w:r>
      <w:r>
        <w:t xml:space="preserve"> – Audit, Assurance and Right of Access</w:t>
      </w:r>
    </w:p>
    <w:p w:rsidR="000A7C59" w:rsidP="000A7C59" w:rsidRDefault="000A7C59" w14:paraId="678C97A0" w14:textId="77777777">
      <w:pPr>
        <w:spacing w:after="0" w:line="240" w:lineRule="auto"/>
        <w:jc w:val="both"/>
      </w:pPr>
    </w:p>
    <w:p w:rsidR="005C3395" w:rsidP="000A7C59" w:rsidRDefault="00D40D2B" w14:paraId="7B685DCA" w14:textId="2E222095">
      <w:pPr>
        <w:spacing w:after="0" w:line="240" w:lineRule="auto"/>
        <w:jc w:val="both"/>
      </w:pPr>
      <w:r>
        <w:t>A</w:t>
      </w:r>
      <w:r w:rsidRPr="003524BB" w:rsidR="003524BB">
        <w:t xml:space="preserve"> summarised statement of transactions and financial position </w:t>
      </w:r>
      <w:r>
        <w:t xml:space="preserve">of WRP (including the WRP Pooled Fund and Ringfenced Funding) </w:t>
      </w:r>
      <w:r w:rsidR="00281552">
        <w:t>shall</w:t>
      </w:r>
      <w:r w:rsidRPr="003524BB" w:rsidR="003524BB">
        <w:t xml:space="preserve"> be included in the published annual </w:t>
      </w:r>
      <w:r w:rsidR="00B37F77">
        <w:t>f</w:t>
      </w:r>
      <w:r w:rsidRPr="003524BB" w:rsidR="003524BB">
        <w:t xml:space="preserve">inancial </w:t>
      </w:r>
      <w:r w:rsidR="00B37F77">
        <w:t>s</w:t>
      </w:r>
      <w:r w:rsidRPr="003524BB" w:rsidR="003524BB">
        <w:t xml:space="preserve">tatements for WRP. </w:t>
      </w:r>
      <w:r>
        <w:t xml:space="preserve">In </w:t>
      </w:r>
      <w:r>
        <w:lastRenderedPageBreak/>
        <w:t>addition, a</w:t>
      </w:r>
      <w:r w:rsidRPr="003524BB" w:rsidR="003524BB">
        <w:t xml:space="preserve"> separate, more detailed </w:t>
      </w:r>
      <w:r>
        <w:t xml:space="preserve">financial </w:t>
      </w:r>
      <w:r w:rsidRPr="003524BB" w:rsidR="003524BB">
        <w:t xml:space="preserve">statement of </w:t>
      </w:r>
      <w:r w:rsidR="003524BB">
        <w:t xml:space="preserve">WRP </w:t>
      </w:r>
      <w:r w:rsidRPr="003524BB" w:rsidR="003524BB">
        <w:t>income and expenditure</w:t>
      </w:r>
      <w:r>
        <w:t xml:space="preserve"> and the financial position at the end of the period</w:t>
      </w:r>
      <w:r w:rsidRPr="003524BB" w:rsidR="003524BB">
        <w:t xml:space="preserve"> </w:t>
      </w:r>
      <w:r w:rsidR="00A26A70">
        <w:t xml:space="preserve">(covering </w:t>
      </w:r>
      <w:r>
        <w:t xml:space="preserve">both </w:t>
      </w:r>
      <w:r w:rsidR="00A26A70">
        <w:t xml:space="preserve">the WRP Pooled Fund and Ringfenced Funding) </w:t>
      </w:r>
      <w:r w:rsidR="00281552">
        <w:t>shall</w:t>
      </w:r>
      <w:r w:rsidRPr="003524BB" w:rsidR="003524BB">
        <w:t xml:space="preserve"> also be issued and </w:t>
      </w:r>
      <w:r w:rsidR="00281552">
        <w:t>shall</w:t>
      </w:r>
      <w:r w:rsidRPr="003524BB" w:rsidR="003524BB">
        <w:t xml:space="preserve"> also be subject to independent audit.  </w:t>
      </w:r>
      <w:r w:rsidR="002568E8">
        <w:t>The a</w:t>
      </w:r>
      <w:r w:rsidRPr="003524BB" w:rsidR="003524BB">
        <w:t xml:space="preserve">udited </w:t>
      </w:r>
      <w:r w:rsidR="005C3395">
        <w:t xml:space="preserve">financial </w:t>
      </w:r>
      <w:r w:rsidRPr="003524BB" w:rsidR="003524BB">
        <w:t xml:space="preserve">statements </w:t>
      </w:r>
      <w:r w:rsidR="006F1781">
        <w:t xml:space="preserve">for WRP shall </w:t>
      </w:r>
      <w:r w:rsidRPr="003524BB" w:rsidR="003524BB">
        <w:t xml:space="preserve">be </w:t>
      </w:r>
      <w:r>
        <w:t xml:space="preserve">published and </w:t>
      </w:r>
      <w:r w:rsidRPr="003524BB" w:rsidR="003524BB">
        <w:t xml:space="preserve">made available to all </w:t>
      </w:r>
      <w:r w:rsidR="00EB5A85">
        <w:t>WRP D</w:t>
      </w:r>
      <w:r w:rsidR="004C1013">
        <w:t>onor</w:t>
      </w:r>
      <w:r w:rsidRPr="003524BB" w:rsidR="003524BB">
        <w:t>s.</w:t>
      </w:r>
    </w:p>
    <w:p w:rsidR="00E05F59" w:rsidP="000A7C59" w:rsidRDefault="00E05F59" w14:paraId="580F2D0A" w14:textId="77777777">
      <w:pPr>
        <w:spacing w:after="0" w:line="240" w:lineRule="auto"/>
        <w:jc w:val="both"/>
      </w:pPr>
    </w:p>
    <w:p w:rsidR="000A7C59" w:rsidP="000A7C59" w:rsidRDefault="00E05F59" w14:paraId="33F266AD" w14:textId="6A30044E">
      <w:pPr>
        <w:spacing w:after="0" w:line="240" w:lineRule="auto"/>
        <w:jc w:val="both"/>
      </w:pPr>
      <w:r w:rsidRPr="00E05F59">
        <w:t xml:space="preserve">The operations </w:t>
      </w:r>
      <w:r w:rsidR="004774C7">
        <w:t xml:space="preserve">and management </w:t>
      </w:r>
      <w:r w:rsidRPr="00E05F59">
        <w:t xml:space="preserve">of </w:t>
      </w:r>
      <w:r w:rsidR="00A44530">
        <w:t xml:space="preserve">WRP, including </w:t>
      </w:r>
      <w:r w:rsidRPr="00E05F59">
        <w:t xml:space="preserve">the </w:t>
      </w:r>
      <w:r>
        <w:t xml:space="preserve">WRP Pooled </w:t>
      </w:r>
      <w:r w:rsidRPr="00E05F59">
        <w:t>Fund</w:t>
      </w:r>
      <w:r w:rsidR="00D40D2B">
        <w:t xml:space="preserve"> and Ringfenced Funding</w:t>
      </w:r>
      <w:r w:rsidR="00A44530">
        <w:t>,</w:t>
      </w:r>
      <w:r w:rsidRPr="00E05F59">
        <w:t xml:space="preserve"> </w:t>
      </w:r>
      <w:r w:rsidR="006F1781">
        <w:t xml:space="preserve">shall </w:t>
      </w:r>
      <w:r w:rsidRPr="00E05F59">
        <w:t>come under the scope of SPREP</w:t>
      </w:r>
      <w:r w:rsidR="006F1781">
        <w:t>’s internal audit arrangements</w:t>
      </w:r>
      <w:r w:rsidRPr="00E05F59">
        <w:t xml:space="preserve">. The </w:t>
      </w:r>
      <w:r w:rsidR="002D6643">
        <w:t xml:space="preserve">WRP </w:t>
      </w:r>
      <w:r w:rsidRPr="00E05F59">
        <w:t xml:space="preserve">Steering Committee may request an internal audit review of any aspect of </w:t>
      </w:r>
      <w:r w:rsidR="00A44530">
        <w:t xml:space="preserve">WRP, including </w:t>
      </w:r>
      <w:r w:rsidRPr="00E05F59">
        <w:t xml:space="preserve">the </w:t>
      </w:r>
      <w:r w:rsidR="002D6643">
        <w:t xml:space="preserve">WRP Pooled </w:t>
      </w:r>
      <w:r w:rsidRPr="00E05F59">
        <w:t>Fund</w:t>
      </w:r>
      <w:r w:rsidR="00D40D2B">
        <w:t xml:space="preserve"> and Ringfenced Funding</w:t>
      </w:r>
      <w:r w:rsidRPr="00E05F59">
        <w:t xml:space="preserve">. The results of any internal audit </w:t>
      </w:r>
      <w:r w:rsidR="00C4171E">
        <w:t xml:space="preserve">shall </w:t>
      </w:r>
      <w:r w:rsidRPr="00E05F59">
        <w:t xml:space="preserve">be made available to all </w:t>
      </w:r>
      <w:r w:rsidR="00EB5A85">
        <w:t>WRP D</w:t>
      </w:r>
      <w:r w:rsidR="004C1013">
        <w:t>onor</w:t>
      </w:r>
      <w:r w:rsidRPr="00E05F59">
        <w:t>s.</w:t>
      </w:r>
    </w:p>
    <w:p w:rsidR="002D6643" w:rsidP="000A7C59" w:rsidRDefault="002D6643" w14:paraId="66725CA9" w14:textId="77777777">
      <w:pPr>
        <w:spacing w:after="0" w:line="240" w:lineRule="auto"/>
        <w:jc w:val="both"/>
      </w:pPr>
    </w:p>
    <w:p w:rsidR="0037504C" w:rsidP="000A7C59" w:rsidRDefault="00A25540" w14:paraId="281876D9" w14:textId="4F220212">
      <w:pPr>
        <w:spacing w:after="0" w:line="240" w:lineRule="auto"/>
        <w:jc w:val="both"/>
      </w:pPr>
      <w:r>
        <w:t xml:space="preserve">SPREP, its auditors and any other authorised assurance providers under a relevant agreement shall have reasonable access to records, supporting documentation, assets and information relating to WRP </w:t>
      </w:r>
      <w:r w:rsidR="00A26A70">
        <w:t>Funding</w:t>
      </w:r>
      <w:r>
        <w:t xml:space="preserve"> and funded activities.</w:t>
      </w:r>
    </w:p>
    <w:p w:rsidR="000A7C59" w:rsidP="000A7C59" w:rsidRDefault="000A7C59" w14:paraId="0F449803" w14:textId="77777777">
      <w:pPr>
        <w:spacing w:after="0" w:line="240" w:lineRule="auto"/>
        <w:jc w:val="both"/>
      </w:pPr>
    </w:p>
    <w:p w:rsidR="0037504C" w:rsidP="000A7C59" w:rsidRDefault="00A25540" w14:paraId="4D942B4A" w14:textId="3701A506">
      <w:pPr>
        <w:spacing w:after="0" w:line="240" w:lineRule="auto"/>
        <w:jc w:val="both"/>
      </w:pPr>
      <w:r>
        <w:t xml:space="preserve">Relevant funding, grant and implementation agreements shall secure equivalent access rights to records, supporting documentation and assets held by </w:t>
      </w:r>
      <w:r w:rsidRPr="00A26A70" w:rsidR="00A26A70">
        <w:t>supplier</w:t>
      </w:r>
      <w:r w:rsidR="00A26A70">
        <w:t>s</w:t>
      </w:r>
      <w:r w:rsidRPr="00A26A70" w:rsidR="00A26A70">
        <w:t>, beneficiar</w:t>
      </w:r>
      <w:r w:rsidR="00A26A70">
        <w:t>ies</w:t>
      </w:r>
      <w:r w:rsidRPr="00A26A70" w:rsidR="00A26A70">
        <w:t>, executing agenc</w:t>
      </w:r>
      <w:r w:rsidR="00A26A70">
        <w:t xml:space="preserve">ies and any other </w:t>
      </w:r>
      <w:r>
        <w:t xml:space="preserve">recipients of WRP </w:t>
      </w:r>
      <w:r w:rsidR="00A26A70">
        <w:t>Funding</w:t>
      </w:r>
      <w:r>
        <w:t>.</w:t>
      </w:r>
    </w:p>
    <w:p w:rsidR="001325F2" w:rsidP="000A7C59" w:rsidRDefault="001325F2" w14:paraId="5735BE6B" w14:textId="77777777">
      <w:pPr>
        <w:pStyle w:val="WRPArticle"/>
        <w:spacing w:before="0" w:after="0" w:line="240" w:lineRule="auto"/>
        <w:jc w:val="both"/>
      </w:pPr>
    </w:p>
    <w:p w:rsidR="0037504C" w:rsidP="000A7C59" w:rsidRDefault="00A25540" w14:paraId="484D8229" w14:textId="5524AB9F">
      <w:pPr>
        <w:pStyle w:val="WRPArticle"/>
        <w:spacing w:before="0" w:after="0" w:line="240" w:lineRule="auto"/>
        <w:jc w:val="both"/>
      </w:pPr>
      <w:r>
        <w:t xml:space="preserve">Article </w:t>
      </w:r>
      <w:r w:rsidR="00DF6E9B">
        <w:t>2</w:t>
      </w:r>
      <w:r w:rsidR="00A26A70">
        <w:t>3</w:t>
      </w:r>
      <w:r>
        <w:t xml:space="preserve"> – Risk Management, Fraud Prevention and Safeguards</w:t>
      </w:r>
    </w:p>
    <w:p w:rsidR="000A7C59" w:rsidP="000A7C59" w:rsidRDefault="000A7C59" w14:paraId="6EDC8D19" w14:textId="77777777">
      <w:pPr>
        <w:spacing w:after="0" w:line="240" w:lineRule="auto"/>
        <w:jc w:val="both"/>
      </w:pPr>
    </w:p>
    <w:p w:rsidR="00DF6E9B" w:rsidP="000A7C59" w:rsidRDefault="00A25540" w14:paraId="6C8191C6" w14:textId="77777777">
      <w:pPr>
        <w:spacing w:after="0" w:line="240" w:lineRule="auto"/>
        <w:jc w:val="both"/>
      </w:pPr>
      <w:r>
        <w:t xml:space="preserve">In accordance with SPREP arrangements, WRP shall apply internal control, risk-based management, due diligence procedures and safeguards addressing fraud, corruption, sanctions compliance and conflicts of interest. </w:t>
      </w:r>
    </w:p>
    <w:p w:rsidR="000A7C59" w:rsidP="000A7C59" w:rsidRDefault="000A7C59" w14:paraId="7F1596E6" w14:textId="77777777">
      <w:pPr>
        <w:spacing w:after="0" w:line="240" w:lineRule="auto"/>
        <w:jc w:val="both"/>
      </w:pPr>
    </w:p>
    <w:p w:rsidR="0037504C" w:rsidP="000A7C59" w:rsidRDefault="00A25540" w14:paraId="3E141BEB" w14:textId="3F35CD9E">
      <w:pPr>
        <w:spacing w:after="0" w:line="240" w:lineRule="auto"/>
        <w:jc w:val="both"/>
      </w:pPr>
      <w:r>
        <w:t xml:space="preserve">WRP shall maintain zero tolerance for </w:t>
      </w:r>
      <w:r w:rsidR="00042365">
        <w:t xml:space="preserve">SEAH, child exploitation, abuse or harm, </w:t>
      </w:r>
      <w:r>
        <w:t>fraudulent activity, misuse or abuse of assets, retaliation against whistleblowers, and other integrity failures, and allegations shall be handled consistently with the SPREP Fraud Prevention and Whistleblower Protection Manual.</w:t>
      </w:r>
    </w:p>
    <w:p w:rsidR="000A7C59" w:rsidP="000A7C59" w:rsidRDefault="000A7C59" w14:paraId="2AEDAC31" w14:textId="77777777">
      <w:pPr>
        <w:pStyle w:val="WRPPart"/>
        <w:pBdr>
          <w:bottom w:val="single" w:color="B7C4D6" w:sz="6" w:space="1"/>
        </w:pBdr>
        <w:spacing w:before="0" w:after="0" w:line="240" w:lineRule="auto"/>
        <w:jc w:val="both"/>
      </w:pPr>
    </w:p>
    <w:p w:rsidR="0037504C" w:rsidP="000A7C59" w:rsidRDefault="00A25540" w14:paraId="247FDD84" w14:textId="7A4B0437">
      <w:pPr>
        <w:pStyle w:val="WRPPart"/>
        <w:pBdr>
          <w:bottom w:val="single" w:color="B7C4D6" w:sz="6" w:space="1"/>
        </w:pBdr>
        <w:spacing w:before="0" w:after="0" w:line="240" w:lineRule="auto"/>
        <w:jc w:val="both"/>
      </w:pPr>
      <w:r>
        <w:t>PART VI – FINAL PROVISIONS</w:t>
      </w:r>
    </w:p>
    <w:p w:rsidR="000A7C59" w:rsidP="000A7C59" w:rsidRDefault="000A7C59" w14:paraId="6D14EF64" w14:textId="77777777">
      <w:pPr>
        <w:pStyle w:val="WRPArticle"/>
        <w:spacing w:before="0" w:after="0" w:line="240" w:lineRule="auto"/>
        <w:jc w:val="both"/>
      </w:pPr>
    </w:p>
    <w:p w:rsidR="0037504C" w:rsidP="000A7C59" w:rsidRDefault="00A25540" w14:paraId="5861CDF2" w14:textId="7AD8E7CC">
      <w:pPr>
        <w:pStyle w:val="WRPArticle"/>
        <w:spacing w:before="0" w:after="0" w:line="240" w:lineRule="auto"/>
        <w:jc w:val="both"/>
      </w:pPr>
      <w:r>
        <w:t>Article 2</w:t>
      </w:r>
      <w:r w:rsidR="00A26A70">
        <w:t>4</w:t>
      </w:r>
      <w:r>
        <w:t xml:space="preserve"> – Review and Amendment</w:t>
      </w:r>
    </w:p>
    <w:p w:rsidR="000A7C59" w:rsidP="000A7C59" w:rsidRDefault="000A7C59" w14:paraId="05827292" w14:textId="77777777">
      <w:pPr>
        <w:spacing w:after="0" w:line="240" w:lineRule="auto"/>
        <w:jc w:val="both"/>
      </w:pPr>
    </w:p>
    <w:p w:rsidR="0037504C" w:rsidP="000A7C59" w:rsidRDefault="00A25540" w14:paraId="3B269136" w14:textId="12FD56C9">
      <w:pPr>
        <w:spacing w:after="0" w:line="240" w:lineRule="auto"/>
        <w:jc w:val="both"/>
      </w:pPr>
      <w:r>
        <w:t xml:space="preserve">This Charter may be reviewed </w:t>
      </w:r>
      <w:r w:rsidR="00296FF4">
        <w:t xml:space="preserve">and amended </w:t>
      </w:r>
      <w:r>
        <w:t>periodically to reflect WRP evolution, regional priorities and changes in the applicable SPREP policy framework.</w:t>
      </w:r>
    </w:p>
    <w:p w:rsidR="000A7C59" w:rsidP="000A7C59" w:rsidRDefault="000A7C59" w14:paraId="4B03DFAE" w14:textId="77777777">
      <w:pPr>
        <w:spacing w:after="0" w:line="240" w:lineRule="auto"/>
        <w:jc w:val="both"/>
      </w:pPr>
    </w:p>
    <w:p w:rsidR="0037504C" w:rsidP="000A7C59" w:rsidRDefault="00A25540" w14:paraId="519D855B" w14:textId="139210B6">
      <w:pPr>
        <w:spacing w:after="0" w:line="240" w:lineRule="auto"/>
        <w:jc w:val="both"/>
      </w:pPr>
      <w:r>
        <w:t xml:space="preserve">Amendments shall require approval </w:t>
      </w:r>
      <w:r w:rsidR="00296FF4">
        <w:t>of the Steering Committee in accordance with WRP governance arrangements</w:t>
      </w:r>
      <w:r>
        <w:t>.</w:t>
      </w:r>
    </w:p>
    <w:p w:rsidR="000A7C59" w:rsidP="000A7C59" w:rsidRDefault="000A7C59" w14:paraId="64AE9621" w14:textId="77777777">
      <w:pPr>
        <w:pStyle w:val="WRPArticle"/>
        <w:spacing w:before="0" w:after="0" w:line="240" w:lineRule="auto"/>
        <w:jc w:val="both"/>
      </w:pPr>
    </w:p>
    <w:p w:rsidR="0037504C" w:rsidP="000A7C59" w:rsidRDefault="00A25540" w14:paraId="2311CB81" w14:textId="27892F9E">
      <w:pPr>
        <w:pStyle w:val="WRPArticle"/>
        <w:spacing w:before="0" w:after="0" w:line="240" w:lineRule="auto"/>
        <w:jc w:val="both"/>
      </w:pPr>
      <w:r>
        <w:t>Article 2</w:t>
      </w:r>
      <w:r w:rsidR="005342AB">
        <w:t>6</w:t>
      </w:r>
      <w:r>
        <w:t xml:space="preserve"> – Entry into Effect</w:t>
      </w:r>
    </w:p>
    <w:p w:rsidR="000A7C59" w:rsidP="000A7C59" w:rsidRDefault="000A7C59" w14:paraId="757C634C" w14:textId="77777777">
      <w:pPr>
        <w:spacing w:after="0" w:line="240" w:lineRule="auto"/>
        <w:jc w:val="both"/>
      </w:pPr>
    </w:p>
    <w:p w:rsidR="0037504C" w:rsidP="000A7C59" w:rsidRDefault="00A25540" w14:paraId="7CB8C65D" w14:textId="7D326A57">
      <w:pPr>
        <w:spacing w:after="0" w:line="240" w:lineRule="auto"/>
        <w:jc w:val="both"/>
      </w:pPr>
      <w:r>
        <w:t>This Charter shall enter</w:t>
      </w:r>
      <w:r w:rsidR="00FD5163">
        <w:t xml:space="preserve"> </w:t>
      </w:r>
      <w:r>
        <w:t xml:space="preserve">into effect following </w:t>
      </w:r>
      <w:r w:rsidR="0015640C">
        <w:t xml:space="preserve">its approval by the Steering Committee in accordance with </w:t>
      </w:r>
      <w:r>
        <w:t>WRP governance arrangements.</w:t>
      </w:r>
    </w:p>
    <w:p w:rsidR="002568E8" w:rsidP="002568E8" w:rsidRDefault="002568E8" w14:paraId="7F1C6F83" w14:textId="77777777"/>
    <w:p w:rsidR="00844B75" w:rsidRDefault="00844B75" w14:paraId="678B8003" w14:textId="73438147">
      <w:pPr>
        <w:spacing w:after="200"/>
      </w:pPr>
      <w:r>
        <w:br w:type="page"/>
      </w:r>
    </w:p>
    <w:p w:rsidR="002568E8" w:rsidRDefault="002568E8" w14:paraId="7FC37DEB" w14:textId="77777777">
      <w:pPr>
        <w:spacing w:after="200"/>
      </w:pPr>
    </w:p>
    <w:p w:rsidR="002568E8" w:rsidP="00C115C9" w:rsidRDefault="00D17B94" w14:paraId="542F5A40" w14:textId="7D570229">
      <w:pPr>
        <w:pStyle w:val="WRPPart"/>
        <w:pBdr>
          <w:bottom w:val="single" w:color="B7C4D6" w:sz="6" w:space="1"/>
        </w:pBdr>
        <w:spacing w:before="0" w:after="0" w:line="240" w:lineRule="auto"/>
        <w:jc w:val="both"/>
      </w:pPr>
      <w:r>
        <w:t>DEFINITIONS</w:t>
      </w:r>
    </w:p>
    <w:p w:rsidR="00375269" w:rsidP="002568E8" w:rsidRDefault="00375269" w14:paraId="2E8406D6" w14:textId="77777777">
      <w:pPr>
        <w:tabs>
          <w:tab w:val="left" w:pos="3100"/>
        </w:tabs>
      </w:pPr>
    </w:p>
    <w:tbl>
      <w:tblPr>
        <w:tblW w:w="0" w:type="auto"/>
        <w:jc w:val="center"/>
        <w:tblLook w:val="04A0" w:firstRow="1" w:lastRow="0" w:firstColumn="1" w:lastColumn="0" w:noHBand="0" w:noVBand="1"/>
      </w:tblPr>
      <w:tblGrid>
        <w:gridCol w:w="2009"/>
        <w:gridCol w:w="7495"/>
      </w:tblGrid>
      <w:tr w:rsidRPr="00375269" w:rsidR="00A26A70" w:rsidTr="00DC4DC9" w14:paraId="50C986C8" w14:textId="77777777">
        <w:trPr>
          <w:cantSplit/>
          <w:tblHeader/>
          <w:jc w:val="center"/>
        </w:trPr>
        <w:tc>
          <w:tcPr>
            <w:tcW w:w="0" w:type="auto"/>
            <w:shd w:val="clear" w:color="auto" w:fill="17365D" w:themeFill="text2" w:themeFillShade="BF"/>
            <w:tcMar>
              <w:top w:w="90" w:type="dxa"/>
              <w:left w:w="110" w:type="dxa"/>
              <w:bottom w:w="90" w:type="dxa"/>
              <w:right w:w="110" w:type="dxa"/>
            </w:tcMar>
            <w:vAlign w:val="center"/>
          </w:tcPr>
          <w:p w:rsidRPr="00375269" w:rsidR="00141764" w:rsidP="00D17B94" w:rsidRDefault="00141764" w14:paraId="1B914896" w14:textId="05019ED0">
            <w:pPr>
              <w:spacing w:line="264" w:lineRule="auto"/>
              <w:jc w:val="center"/>
              <w:rPr>
                <w:rFonts w:eastAsia="Aptos" w:cs="Times New Roman"/>
              </w:rPr>
            </w:pPr>
            <w:r>
              <w:rPr>
                <w:rFonts w:eastAsia="Aptos" w:cs="Times New Roman"/>
              </w:rPr>
              <w:t>Term</w:t>
            </w:r>
          </w:p>
        </w:tc>
        <w:tc>
          <w:tcPr>
            <w:tcW w:w="0" w:type="auto"/>
            <w:shd w:val="clear" w:color="auto" w:fill="17365D" w:themeFill="text2" w:themeFillShade="BF"/>
            <w:tcMar>
              <w:top w:w="90" w:type="dxa"/>
              <w:left w:w="110" w:type="dxa"/>
              <w:bottom w:w="90" w:type="dxa"/>
              <w:right w:w="110" w:type="dxa"/>
            </w:tcMar>
            <w:vAlign w:val="center"/>
          </w:tcPr>
          <w:p w:rsidRPr="00375269" w:rsidR="00141764" w:rsidP="00D17B94" w:rsidRDefault="00141764" w14:paraId="2F9A62B5" w14:textId="2706B644">
            <w:pPr>
              <w:spacing w:line="264" w:lineRule="auto"/>
              <w:jc w:val="center"/>
              <w:rPr>
                <w:rFonts w:eastAsia="Aptos" w:cs="Times New Roman"/>
              </w:rPr>
            </w:pPr>
            <w:r>
              <w:rPr>
                <w:rFonts w:eastAsia="Aptos" w:cs="Times New Roman"/>
              </w:rPr>
              <w:t>Meaning</w:t>
            </w:r>
          </w:p>
        </w:tc>
      </w:tr>
      <w:tr w:rsidRPr="00375269" w:rsidR="00A26A70" w:rsidTr="00375269" w14:paraId="3DC51B9E" w14:textId="77777777">
        <w:trPr>
          <w:cantSplit/>
          <w:jc w:val="center"/>
        </w:trPr>
        <w:tc>
          <w:tcPr>
            <w:tcW w:w="0" w:type="auto"/>
            <w:tcMar>
              <w:top w:w="90" w:type="dxa"/>
              <w:left w:w="110" w:type="dxa"/>
              <w:bottom w:w="90" w:type="dxa"/>
              <w:right w:w="110" w:type="dxa"/>
            </w:tcMar>
          </w:tcPr>
          <w:p w:rsidRPr="00375269" w:rsidR="00375269" w:rsidP="00375269" w:rsidRDefault="00375269" w14:paraId="2EA49810" w14:textId="77777777">
            <w:pPr>
              <w:spacing w:line="264" w:lineRule="auto"/>
              <w:rPr>
                <w:rFonts w:eastAsia="Aptos" w:cs="Times New Roman"/>
              </w:rPr>
            </w:pPr>
            <w:r w:rsidRPr="00375269">
              <w:rPr>
                <w:rFonts w:eastAsia="Aptos" w:cs="Times New Roman"/>
              </w:rPr>
              <w:t xml:space="preserve">Decadal Programme of Investment </w:t>
            </w:r>
          </w:p>
        </w:tc>
        <w:tc>
          <w:tcPr>
            <w:tcW w:w="0" w:type="auto"/>
            <w:tcMar>
              <w:top w:w="90" w:type="dxa"/>
              <w:left w:w="110" w:type="dxa"/>
              <w:bottom w:w="90" w:type="dxa"/>
              <w:right w:w="110" w:type="dxa"/>
            </w:tcMar>
          </w:tcPr>
          <w:p w:rsidRPr="00375269" w:rsidR="00375269" w:rsidP="00375269" w:rsidRDefault="00375269" w14:paraId="7B6A72DA" w14:textId="77777777">
            <w:pPr>
              <w:spacing w:line="264" w:lineRule="auto"/>
              <w:rPr>
                <w:rFonts w:eastAsia="Aptos" w:cs="Times New Roman"/>
              </w:rPr>
            </w:pPr>
            <w:r w:rsidRPr="00375269">
              <w:rPr>
                <w:rFonts w:eastAsia="Aptos" w:cs="Times New Roman"/>
              </w:rPr>
              <w:t>The high-level ten-year investment framework for WRP, endorsed by Pacific leaders in 2021 as updated from time to time.</w:t>
            </w:r>
          </w:p>
        </w:tc>
      </w:tr>
      <w:tr w:rsidRPr="00375269" w:rsidR="00A26A70" w:rsidTr="00375269" w14:paraId="15BF57C8" w14:textId="77777777">
        <w:trPr>
          <w:cantSplit/>
          <w:jc w:val="center"/>
        </w:trPr>
        <w:tc>
          <w:tcPr>
            <w:tcW w:w="0" w:type="auto"/>
            <w:tcMar>
              <w:top w:w="90" w:type="dxa"/>
              <w:left w:w="110" w:type="dxa"/>
              <w:bottom w:w="90" w:type="dxa"/>
              <w:right w:w="110" w:type="dxa"/>
            </w:tcMar>
          </w:tcPr>
          <w:p w:rsidRPr="0095765E" w:rsidR="009F70EC" w:rsidP="009F70EC" w:rsidRDefault="009F70EC" w14:paraId="035F34B4" w14:textId="1E4B8B55">
            <w:pPr>
              <w:spacing w:line="264" w:lineRule="auto"/>
              <w:rPr>
                <w:rFonts w:eastAsia="Aptos" w:cs="Times New Roman"/>
              </w:rPr>
            </w:pPr>
            <w:r w:rsidRPr="0095765E">
              <w:rPr>
                <w:rFonts w:eastAsia="MS Mincho" w:cs="Times New Roman"/>
              </w:rPr>
              <w:t xml:space="preserve">Donor Committee </w:t>
            </w:r>
          </w:p>
        </w:tc>
        <w:tc>
          <w:tcPr>
            <w:tcW w:w="0" w:type="auto"/>
            <w:tcMar>
              <w:top w:w="90" w:type="dxa"/>
              <w:left w:w="110" w:type="dxa"/>
              <w:bottom w:w="90" w:type="dxa"/>
              <w:right w:w="110" w:type="dxa"/>
            </w:tcMar>
          </w:tcPr>
          <w:p w:rsidRPr="00375269" w:rsidR="009F70EC" w:rsidP="009F70EC" w:rsidRDefault="0095765E" w14:paraId="767586C0" w14:textId="122E1DD9">
            <w:pPr>
              <w:spacing w:line="264" w:lineRule="auto"/>
              <w:rPr>
                <w:rFonts w:eastAsia="Aptos" w:cs="Times New Roman"/>
              </w:rPr>
            </w:pPr>
            <w:r>
              <w:rPr>
                <w:rFonts w:eastAsia="MS Mincho" w:cs="Times New Roman"/>
              </w:rPr>
              <w:t>T</w:t>
            </w:r>
            <w:r w:rsidRPr="00DD07A4" w:rsidR="009F70EC">
              <w:rPr>
                <w:rFonts w:eastAsia="MS Mincho" w:cs="Times New Roman"/>
              </w:rPr>
              <w:t xml:space="preserve">he forum for WRP Donors and potential WRP Donors established in accordance with Section [6.5?] of Chapter 1 of the Operations Manual.  </w:t>
            </w:r>
          </w:p>
        </w:tc>
      </w:tr>
      <w:tr w:rsidRPr="00375269" w:rsidR="00A26A70" w:rsidTr="00375269" w14:paraId="5D1B2B34" w14:textId="77777777">
        <w:trPr>
          <w:cantSplit/>
          <w:jc w:val="center"/>
        </w:trPr>
        <w:tc>
          <w:tcPr>
            <w:tcW w:w="0" w:type="auto"/>
            <w:tcMar>
              <w:top w:w="90" w:type="dxa"/>
              <w:left w:w="110" w:type="dxa"/>
              <w:bottom w:w="90" w:type="dxa"/>
              <w:right w:w="110" w:type="dxa"/>
            </w:tcMar>
            <w:vAlign w:val="center"/>
          </w:tcPr>
          <w:p w:rsidRPr="00375269" w:rsidR="00375269" w:rsidP="00375269" w:rsidRDefault="00375269" w14:paraId="4DC15124" w14:textId="77777777">
            <w:pPr>
              <w:spacing w:line="264" w:lineRule="auto"/>
              <w:rPr>
                <w:rFonts w:eastAsia="Aptos" w:cs="Times New Roman"/>
              </w:rPr>
            </w:pPr>
            <w:r w:rsidRPr="00375269">
              <w:rPr>
                <w:rFonts w:eastAsia="Aptos" w:cs="Times New Roman"/>
              </w:rPr>
              <w:t>Funded Workplan</w:t>
            </w:r>
          </w:p>
        </w:tc>
        <w:tc>
          <w:tcPr>
            <w:tcW w:w="0" w:type="auto"/>
            <w:tcMar>
              <w:top w:w="90" w:type="dxa"/>
              <w:left w:w="110" w:type="dxa"/>
              <w:bottom w:w="90" w:type="dxa"/>
              <w:right w:w="110" w:type="dxa"/>
            </w:tcMar>
            <w:vAlign w:val="center"/>
          </w:tcPr>
          <w:p w:rsidRPr="00375269" w:rsidR="00375269" w:rsidP="00375269" w:rsidRDefault="00375269" w14:paraId="0C52BCA1" w14:textId="77777777">
            <w:pPr>
              <w:spacing w:line="264" w:lineRule="auto"/>
              <w:rPr>
                <w:rFonts w:eastAsia="Aptos" w:cs="Times New Roman"/>
              </w:rPr>
            </w:pPr>
            <w:r w:rsidRPr="00375269">
              <w:rPr>
                <w:rFonts w:eastAsia="Aptos" w:cs="Times New Roman"/>
              </w:rPr>
              <w:t>The annual or multi-year workplan and budget for WRP developed by the PMU and as approved, updated and amended from time to time by the Steering Committee in accordance with the governance framework set out in the Charter and the Operations Manual.</w:t>
            </w:r>
          </w:p>
        </w:tc>
      </w:tr>
      <w:tr w:rsidRPr="00375269" w:rsidR="00A26A70" w:rsidTr="00375269" w14:paraId="33F9D1EA" w14:textId="77777777">
        <w:trPr>
          <w:cantSplit/>
          <w:jc w:val="center"/>
        </w:trPr>
        <w:tc>
          <w:tcPr>
            <w:tcW w:w="0" w:type="auto"/>
            <w:tcMar>
              <w:top w:w="90" w:type="dxa"/>
              <w:left w:w="110" w:type="dxa"/>
              <w:bottom w:w="90" w:type="dxa"/>
              <w:right w:w="110" w:type="dxa"/>
            </w:tcMar>
            <w:vAlign w:val="center"/>
          </w:tcPr>
          <w:p w:rsidRPr="00375269" w:rsidR="00375269" w:rsidP="00375269" w:rsidRDefault="00375269" w14:paraId="76554500" w14:textId="77777777">
            <w:pPr>
              <w:spacing w:line="264" w:lineRule="auto"/>
              <w:rPr>
                <w:rFonts w:eastAsia="Aptos" w:cs="Times New Roman"/>
              </w:rPr>
            </w:pPr>
            <w:r w:rsidRPr="00375269">
              <w:rPr>
                <w:rFonts w:eastAsia="Aptos" w:cs="Times New Roman"/>
              </w:rPr>
              <w:t>GEDSI</w:t>
            </w:r>
          </w:p>
        </w:tc>
        <w:tc>
          <w:tcPr>
            <w:tcW w:w="0" w:type="auto"/>
            <w:tcMar>
              <w:top w:w="90" w:type="dxa"/>
              <w:left w:w="110" w:type="dxa"/>
              <w:bottom w:w="90" w:type="dxa"/>
              <w:right w:w="110" w:type="dxa"/>
            </w:tcMar>
            <w:vAlign w:val="center"/>
          </w:tcPr>
          <w:p w:rsidRPr="00375269" w:rsidR="00375269" w:rsidP="00375269" w:rsidRDefault="00375269" w14:paraId="40450C68" w14:textId="77777777">
            <w:pPr>
              <w:spacing w:line="264" w:lineRule="auto"/>
              <w:rPr>
                <w:rFonts w:eastAsia="Aptos" w:cs="Times New Roman"/>
              </w:rPr>
            </w:pPr>
            <w:r w:rsidRPr="00375269">
              <w:rPr>
                <w:rFonts w:eastAsia="Aptos" w:cs="Times New Roman"/>
              </w:rPr>
              <w:t>Gender equality, disability and social inclusion.</w:t>
            </w:r>
          </w:p>
        </w:tc>
      </w:tr>
      <w:tr w:rsidRPr="00375269" w:rsidR="00A26A70" w:rsidTr="00375269" w14:paraId="5E39BEBD" w14:textId="77777777">
        <w:trPr>
          <w:cantSplit/>
          <w:jc w:val="center"/>
        </w:trPr>
        <w:tc>
          <w:tcPr>
            <w:tcW w:w="0" w:type="auto"/>
            <w:tcMar>
              <w:top w:w="90" w:type="dxa"/>
              <w:left w:w="110" w:type="dxa"/>
              <w:bottom w:w="90" w:type="dxa"/>
              <w:right w:w="110" w:type="dxa"/>
            </w:tcMar>
            <w:vAlign w:val="center"/>
          </w:tcPr>
          <w:p w:rsidRPr="00375269" w:rsidR="00375269" w:rsidP="00375269" w:rsidRDefault="00375269" w14:paraId="11F6D993" w14:textId="77777777">
            <w:pPr>
              <w:spacing w:line="264" w:lineRule="auto"/>
              <w:rPr>
                <w:rFonts w:eastAsia="Aptos" w:cs="Times New Roman"/>
              </w:rPr>
            </w:pPr>
            <w:r w:rsidRPr="00375269">
              <w:rPr>
                <w:rFonts w:eastAsia="Aptos" w:cs="Times New Roman"/>
              </w:rPr>
              <w:t>Implementation Plan</w:t>
            </w:r>
          </w:p>
        </w:tc>
        <w:tc>
          <w:tcPr>
            <w:tcW w:w="0" w:type="auto"/>
            <w:tcMar>
              <w:top w:w="90" w:type="dxa"/>
              <w:left w:w="110" w:type="dxa"/>
              <w:bottom w:w="90" w:type="dxa"/>
              <w:right w:w="110" w:type="dxa"/>
            </w:tcMar>
            <w:vAlign w:val="center"/>
          </w:tcPr>
          <w:p w:rsidRPr="00375269" w:rsidR="00375269" w:rsidP="00375269" w:rsidRDefault="00375269" w14:paraId="46058E88" w14:textId="12722F30">
            <w:pPr>
              <w:spacing w:line="264" w:lineRule="auto"/>
              <w:rPr>
                <w:rFonts w:eastAsia="Aptos" w:cs="Times New Roman"/>
              </w:rPr>
            </w:pPr>
            <w:r w:rsidRPr="00375269">
              <w:rPr>
                <w:rFonts w:eastAsia="Aptos" w:cs="Times New Roman"/>
              </w:rPr>
              <w:t xml:space="preserve">The key programme management artefact for WRP, that sets out Key Results Areas and activities for WRP, designed to achieved the intended outputs of WRP, outcomes and objectives for WRP as </w:t>
            </w:r>
            <w:r w:rsidR="00EF61C1">
              <w:rPr>
                <w:rFonts w:eastAsia="Aptos" w:cs="Times New Roman"/>
              </w:rPr>
              <w:t>approved by [the Steering Committee] from time to time</w:t>
            </w:r>
            <w:r w:rsidRPr="00375269">
              <w:rPr>
                <w:rFonts w:eastAsia="Aptos" w:cs="Times New Roman"/>
              </w:rPr>
              <w:t xml:space="preserve">. </w:t>
            </w:r>
          </w:p>
        </w:tc>
      </w:tr>
      <w:tr w:rsidRPr="00375269" w:rsidR="00A26A70" w:rsidTr="00375269" w14:paraId="151327C0" w14:textId="77777777">
        <w:trPr>
          <w:cantSplit/>
          <w:jc w:val="center"/>
        </w:trPr>
        <w:tc>
          <w:tcPr>
            <w:tcW w:w="0" w:type="auto"/>
            <w:tcMar>
              <w:top w:w="90" w:type="dxa"/>
              <w:left w:w="110" w:type="dxa"/>
              <w:bottom w:w="90" w:type="dxa"/>
              <w:right w:w="110" w:type="dxa"/>
            </w:tcMar>
          </w:tcPr>
          <w:p w:rsidRPr="00375269" w:rsidR="00375269" w:rsidP="00375269" w:rsidRDefault="00375269" w14:paraId="68572F80" w14:textId="77777777">
            <w:pPr>
              <w:spacing w:line="264" w:lineRule="auto"/>
              <w:rPr>
                <w:rFonts w:eastAsia="Aptos" w:cs="Times New Roman"/>
              </w:rPr>
            </w:pPr>
            <w:r w:rsidRPr="00375269">
              <w:rPr>
                <w:rFonts w:eastAsia="Aptos" w:cs="Times New Roman"/>
              </w:rPr>
              <w:t xml:space="preserve">Key Result Areas or KRAs </w:t>
            </w:r>
          </w:p>
        </w:tc>
        <w:tc>
          <w:tcPr>
            <w:tcW w:w="0" w:type="auto"/>
            <w:tcMar>
              <w:top w:w="90" w:type="dxa"/>
              <w:left w:w="110" w:type="dxa"/>
              <w:bottom w:w="90" w:type="dxa"/>
              <w:right w:w="110" w:type="dxa"/>
            </w:tcMar>
          </w:tcPr>
          <w:p w:rsidRPr="00375269" w:rsidR="00375269" w:rsidP="00375269" w:rsidRDefault="00375269" w14:paraId="73C62F58" w14:textId="77777777">
            <w:pPr>
              <w:spacing w:line="264" w:lineRule="auto"/>
              <w:rPr>
                <w:rFonts w:eastAsia="Aptos" w:cs="Times New Roman"/>
              </w:rPr>
            </w:pPr>
            <w:r w:rsidRPr="00375269">
              <w:rPr>
                <w:rFonts w:eastAsia="Aptos" w:cs="Times New Roman"/>
              </w:rPr>
              <w:t>The principal result areas for WRP set out in the WRP Implementation Plan, under which WRP activities and workstreams are grouped for the purposes of planning, budgeting, implementation, monitoring, reporting and allocation of resources.</w:t>
            </w:r>
          </w:p>
        </w:tc>
      </w:tr>
      <w:tr w:rsidRPr="00375269" w:rsidR="00A26A70" w:rsidTr="00375269" w14:paraId="5D588BA3" w14:textId="77777777">
        <w:trPr>
          <w:cantSplit/>
          <w:jc w:val="center"/>
        </w:trPr>
        <w:tc>
          <w:tcPr>
            <w:tcW w:w="0" w:type="auto"/>
            <w:tcMar>
              <w:top w:w="90" w:type="dxa"/>
              <w:left w:w="110" w:type="dxa"/>
              <w:bottom w:w="90" w:type="dxa"/>
              <w:right w:w="110" w:type="dxa"/>
            </w:tcMar>
          </w:tcPr>
          <w:p w:rsidRPr="00375269" w:rsidR="0095765E" w:rsidP="0095765E" w:rsidRDefault="0095765E" w14:paraId="405322D5" w14:textId="17746C32">
            <w:pPr>
              <w:spacing w:line="264" w:lineRule="auto"/>
              <w:rPr>
                <w:rFonts w:eastAsia="Aptos" w:cs="Times New Roman"/>
              </w:rPr>
            </w:pPr>
            <w:r w:rsidRPr="002429B5">
              <w:t xml:space="preserve">Liaison Platform </w:t>
            </w:r>
          </w:p>
        </w:tc>
        <w:tc>
          <w:tcPr>
            <w:tcW w:w="0" w:type="auto"/>
            <w:tcMar>
              <w:top w:w="90" w:type="dxa"/>
              <w:left w:w="110" w:type="dxa"/>
              <w:bottom w:w="90" w:type="dxa"/>
              <w:right w:w="110" w:type="dxa"/>
            </w:tcMar>
          </w:tcPr>
          <w:p w:rsidRPr="00375269" w:rsidR="0095765E" w:rsidP="0095765E" w:rsidRDefault="0095765E" w14:paraId="506C146D" w14:textId="32E84D91">
            <w:pPr>
              <w:spacing w:line="264" w:lineRule="auto"/>
              <w:rPr>
                <w:rFonts w:eastAsia="Aptos" w:cs="Times New Roman"/>
              </w:rPr>
            </w:pPr>
            <w:r>
              <w:t>T</w:t>
            </w:r>
            <w:r w:rsidRPr="002429B5">
              <w:t xml:space="preserve">he forum for WRP stakeholders established in accordance with Section 6.4 of Chapter 1 of the Operations Manual. </w:t>
            </w:r>
          </w:p>
        </w:tc>
      </w:tr>
      <w:tr w:rsidRPr="00375269" w:rsidR="00A26A70" w:rsidTr="00375269" w14:paraId="7077AB23" w14:textId="77777777">
        <w:trPr>
          <w:cantSplit/>
          <w:jc w:val="center"/>
        </w:trPr>
        <w:tc>
          <w:tcPr>
            <w:tcW w:w="0" w:type="auto"/>
            <w:tcMar>
              <w:top w:w="90" w:type="dxa"/>
              <w:left w:w="110" w:type="dxa"/>
              <w:bottom w:w="90" w:type="dxa"/>
              <w:right w:w="110" w:type="dxa"/>
            </w:tcMar>
          </w:tcPr>
          <w:p w:rsidRPr="00375269" w:rsidR="00375269" w:rsidP="00375269" w:rsidRDefault="00375269" w14:paraId="1AE8B011" w14:textId="77777777">
            <w:pPr>
              <w:spacing w:line="264" w:lineRule="auto"/>
              <w:rPr>
                <w:rFonts w:eastAsia="Aptos" w:cs="Times New Roman"/>
              </w:rPr>
            </w:pPr>
            <w:r w:rsidRPr="00375269">
              <w:rPr>
                <w:rFonts w:eastAsia="Aptos" w:cs="Times New Roman"/>
              </w:rPr>
              <w:t xml:space="preserve">MERL </w:t>
            </w:r>
          </w:p>
        </w:tc>
        <w:tc>
          <w:tcPr>
            <w:tcW w:w="0" w:type="auto"/>
            <w:tcMar>
              <w:top w:w="90" w:type="dxa"/>
              <w:left w:w="110" w:type="dxa"/>
              <w:bottom w:w="90" w:type="dxa"/>
              <w:right w:w="110" w:type="dxa"/>
            </w:tcMar>
          </w:tcPr>
          <w:p w:rsidRPr="00375269" w:rsidR="00375269" w:rsidP="00375269" w:rsidRDefault="00375269" w14:paraId="6BB7424E" w14:textId="77777777">
            <w:pPr>
              <w:spacing w:line="264" w:lineRule="auto"/>
              <w:rPr>
                <w:rFonts w:eastAsia="Aptos" w:cs="Times New Roman"/>
              </w:rPr>
            </w:pPr>
            <w:r w:rsidRPr="00375269">
              <w:rPr>
                <w:rFonts w:eastAsia="Aptos" w:cs="Times New Roman"/>
              </w:rPr>
              <w:t xml:space="preserve">Monitoring, evaluation, research and learning. </w:t>
            </w:r>
          </w:p>
        </w:tc>
      </w:tr>
      <w:tr w:rsidRPr="00375269" w:rsidR="00A26A70" w:rsidTr="00375269" w14:paraId="16292BAF" w14:textId="77777777">
        <w:trPr>
          <w:cantSplit/>
          <w:jc w:val="center"/>
        </w:trPr>
        <w:tc>
          <w:tcPr>
            <w:tcW w:w="0" w:type="auto"/>
            <w:tcMar>
              <w:top w:w="90" w:type="dxa"/>
              <w:left w:w="110" w:type="dxa"/>
              <w:bottom w:w="90" w:type="dxa"/>
              <w:right w:w="110" w:type="dxa"/>
            </w:tcMar>
          </w:tcPr>
          <w:p w:rsidRPr="00375269" w:rsidR="00375269" w:rsidP="00375269" w:rsidRDefault="00375269" w14:paraId="39ED40D8" w14:textId="77777777">
            <w:pPr>
              <w:spacing w:line="264" w:lineRule="auto"/>
              <w:jc w:val="both"/>
              <w:rPr>
                <w:rFonts w:eastAsia="Aptos" w:cs="Times New Roman"/>
              </w:rPr>
            </w:pPr>
            <w:r w:rsidRPr="00375269">
              <w:rPr>
                <w:rFonts w:eastAsia="Aptos" w:cs="Times New Roman"/>
              </w:rPr>
              <w:t xml:space="preserve">Operations Manual </w:t>
            </w:r>
          </w:p>
        </w:tc>
        <w:tc>
          <w:tcPr>
            <w:tcW w:w="0" w:type="auto"/>
            <w:tcMar>
              <w:top w:w="90" w:type="dxa"/>
              <w:left w:w="110" w:type="dxa"/>
              <w:bottom w:w="90" w:type="dxa"/>
              <w:right w:w="110" w:type="dxa"/>
            </w:tcMar>
          </w:tcPr>
          <w:p w:rsidRPr="00375269" w:rsidR="00857359" w:rsidP="00857359" w:rsidRDefault="00375269" w14:paraId="5DDD844B" w14:textId="3B07E424">
            <w:pPr>
              <w:spacing w:line="264" w:lineRule="auto"/>
              <w:rPr>
                <w:rFonts w:eastAsia="Aptos" w:cs="Times New Roman"/>
              </w:rPr>
            </w:pPr>
            <w:r w:rsidRPr="00375269">
              <w:rPr>
                <w:rFonts w:eastAsia="Aptos" w:cs="Times New Roman"/>
              </w:rPr>
              <w:t>The operations manual for WRP prepared by the PMU and approved by [the Steering Committee] as amended and updated from time to time.</w:t>
            </w:r>
          </w:p>
        </w:tc>
      </w:tr>
      <w:tr w:rsidRPr="00375269" w:rsidR="00857359" w:rsidTr="00375269" w14:paraId="05B3F2C7" w14:textId="77777777">
        <w:trPr>
          <w:cantSplit/>
          <w:jc w:val="center"/>
        </w:trPr>
        <w:tc>
          <w:tcPr>
            <w:tcW w:w="0" w:type="auto"/>
            <w:tcMar>
              <w:top w:w="90" w:type="dxa"/>
              <w:left w:w="110" w:type="dxa"/>
              <w:bottom w:w="90" w:type="dxa"/>
              <w:right w:w="110" w:type="dxa"/>
            </w:tcMar>
          </w:tcPr>
          <w:p w:rsidRPr="00375269" w:rsidR="00857359" w:rsidP="00857359" w:rsidRDefault="00857359" w14:paraId="1746CCDC" w14:textId="684D7306">
            <w:pPr>
              <w:spacing w:line="264" w:lineRule="auto"/>
              <w:jc w:val="both"/>
              <w:rPr>
                <w:rFonts w:eastAsia="Aptos" w:cs="Times New Roman"/>
              </w:rPr>
            </w:pPr>
            <w:r w:rsidRPr="009C5D4D">
              <w:rPr>
                <w:rFonts w:eastAsia="MS Mincho" w:cs="Times New Roman"/>
              </w:rPr>
              <w:t xml:space="preserve">Other Support </w:t>
            </w:r>
          </w:p>
        </w:tc>
        <w:tc>
          <w:tcPr>
            <w:tcW w:w="0" w:type="auto"/>
            <w:tcMar>
              <w:top w:w="90" w:type="dxa"/>
              <w:left w:w="110" w:type="dxa"/>
              <w:bottom w:w="90" w:type="dxa"/>
              <w:right w:w="110" w:type="dxa"/>
            </w:tcMar>
          </w:tcPr>
          <w:p w:rsidRPr="00375269" w:rsidR="00857359" w:rsidP="00857359" w:rsidRDefault="00857359" w14:paraId="122DE4EC" w14:textId="6A24E915">
            <w:pPr>
              <w:spacing w:line="264" w:lineRule="auto"/>
              <w:rPr>
                <w:rFonts w:eastAsia="Aptos" w:cs="Times New Roman"/>
              </w:rPr>
            </w:pPr>
            <w:r w:rsidRPr="009C5D4D">
              <w:rPr>
                <w:rFonts w:eastAsia="MS Mincho" w:cs="Times New Roman"/>
              </w:rPr>
              <w:t xml:space="preserve">Co-financing, direct financing, technical assistance, in-kind support or such other support for WRP activities </w:t>
            </w:r>
            <w:r>
              <w:rPr>
                <w:rFonts w:eastAsia="MS Mincho" w:cs="Times New Roman"/>
              </w:rPr>
              <w:t xml:space="preserve">approved by </w:t>
            </w:r>
            <w:r w:rsidR="00D26D29">
              <w:rPr>
                <w:rFonts w:eastAsia="MS Mincho" w:cs="Times New Roman"/>
              </w:rPr>
              <w:t xml:space="preserve">SPREP (via the PMU) </w:t>
            </w:r>
            <w:r w:rsidRPr="009C5D4D">
              <w:rPr>
                <w:rFonts w:eastAsia="MS Mincho" w:cs="Times New Roman"/>
              </w:rPr>
              <w:t xml:space="preserve">that is not </w:t>
            </w:r>
            <w:r w:rsidRPr="007355DC">
              <w:rPr>
                <w:rFonts w:eastAsia="MS Mincho" w:cs="Times New Roman"/>
              </w:rPr>
              <w:t>received by SPREP in the form of cash</w:t>
            </w:r>
            <w:r w:rsidRPr="009C5D4D">
              <w:rPr>
                <w:rFonts w:eastAsia="MS Mincho" w:cs="Times New Roman"/>
              </w:rPr>
              <w:t>.</w:t>
            </w:r>
          </w:p>
        </w:tc>
      </w:tr>
      <w:tr w:rsidRPr="00375269" w:rsidR="00857359" w:rsidTr="00375269" w14:paraId="4A9341E1" w14:textId="77777777">
        <w:trPr>
          <w:cantSplit/>
          <w:jc w:val="center"/>
        </w:trPr>
        <w:tc>
          <w:tcPr>
            <w:tcW w:w="0" w:type="auto"/>
            <w:tcMar>
              <w:top w:w="90" w:type="dxa"/>
              <w:left w:w="110" w:type="dxa"/>
              <w:bottom w:w="90" w:type="dxa"/>
              <w:right w:w="110" w:type="dxa"/>
            </w:tcMar>
          </w:tcPr>
          <w:p w:rsidRPr="00375269" w:rsidR="00857359" w:rsidP="00857359" w:rsidRDefault="00857359" w14:paraId="6E897954" w14:textId="55283D2F">
            <w:pPr>
              <w:spacing w:line="264" w:lineRule="auto"/>
              <w:rPr>
                <w:rFonts w:eastAsia="Aptos" w:cs="Times New Roman"/>
              </w:rPr>
            </w:pPr>
            <w:r w:rsidRPr="00B60997">
              <w:t xml:space="preserve">PMC </w:t>
            </w:r>
          </w:p>
        </w:tc>
        <w:tc>
          <w:tcPr>
            <w:tcW w:w="0" w:type="auto"/>
            <w:tcMar>
              <w:top w:w="90" w:type="dxa"/>
              <w:left w:w="110" w:type="dxa"/>
              <w:bottom w:w="90" w:type="dxa"/>
              <w:right w:w="110" w:type="dxa"/>
            </w:tcMar>
          </w:tcPr>
          <w:p w:rsidRPr="00375269" w:rsidR="00857359" w:rsidP="00857359" w:rsidRDefault="00857359" w14:paraId="2B006E46" w14:textId="77C548F2">
            <w:pPr>
              <w:spacing w:line="264" w:lineRule="auto"/>
              <w:rPr>
                <w:rFonts w:eastAsia="Aptos" w:cs="Times New Roman"/>
              </w:rPr>
            </w:pPr>
            <w:r>
              <w:t>T</w:t>
            </w:r>
            <w:r w:rsidRPr="00B60997">
              <w:t>he Pacific Meteorological Council.</w:t>
            </w:r>
          </w:p>
        </w:tc>
      </w:tr>
      <w:tr w:rsidRPr="00375269" w:rsidR="00857359" w:rsidTr="00375269" w14:paraId="1B71EB3C" w14:textId="77777777">
        <w:trPr>
          <w:cantSplit/>
          <w:jc w:val="center"/>
        </w:trPr>
        <w:tc>
          <w:tcPr>
            <w:tcW w:w="0" w:type="auto"/>
            <w:tcMar>
              <w:top w:w="90" w:type="dxa"/>
              <w:left w:w="110" w:type="dxa"/>
              <w:bottom w:w="90" w:type="dxa"/>
              <w:right w:w="110" w:type="dxa"/>
            </w:tcMar>
          </w:tcPr>
          <w:p w:rsidRPr="00375269" w:rsidR="00857359" w:rsidP="00857359" w:rsidRDefault="00857359" w14:paraId="447D8468" w14:textId="77777777">
            <w:pPr>
              <w:spacing w:line="264" w:lineRule="auto"/>
              <w:rPr>
                <w:rFonts w:eastAsia="Aptos" w:cs="Times New Roman"/>
              </w:rPr>
            </w:pPr>
            <w:r w:rsidRPr="00375269">
              <w:rPr>
                <w:rFonts w:eastAsia="Aptos" w:cs="Times New Roman"/>
              </w:rPr>
              <w:lastRenderedPageBreak/>
              <w:t xml:space="preserve">PMU </w:t>
            </w:r>
          </w:p>
        </w:tc>
        <w:tc>
          <w:tcPr>
            <w:tcW w:w="0" w:type="auto"/>
            <w:tcMar>
              <w:top w:w="90" w:type="dxa"/>
              <w:left w:w="110" w:type="dxa"/>
              <w:bottom w:w="90" w:type="dxa"/>
              <w:right w:w="110" w:type="dxa"/>
            </w:tcMar>
          </w:tcPr>
          <w:p w:rsidRPr="00375269" w:rsidR="00857359" w:rsidP="00857359" w:rsidRDefault="00857359" w14:paraId="1E4D6D97" w14:textId="77777777">
            <w:pPr>
              <w:spacing w:line="264" w:lineRule="auto"/>
              <w:rPr>
                <w:rFonts w:eastAsia="Aptos" w:cs="Times New Roman"/>
              </w:rPr>
            </w:pPr>
            <w:r w:rsidRPr="00375269">
              <w:rPr>
                <w:rFonts w:eastAsia="Aptos" w:cs="Times New Roman"/>
              </w:rPr>
              <w:t>PMU means the WRP programme management unit established in accordance with Section 7.2 of Chapter 1 of the Operations Manual.</w:t>
            </w:r>
          </w:p>
        </w:tc>
      </w:tr>
      <w:tr w:rsidRPr="00375269" w:rsidR="00857359" w:rsidTr="00375269" w14:paraId="1D8780A9" w14:textId="77777777">
        <w:trPr>
          <w:cantSplit/>
          <w:jc w:val="center"/>
        </w:trPr>
        <w:tc>
          <w:tcPr>
            <w:tcW w:w="0" w:type="auto"/>
            <w:tcMar>
              <w:top w:w="90" w:type="dxa"/>
              <w:left w:w="110" w:type="dxa"/>
              <w:bottom w:w="90" w:type="dxa"/>
              <w:right w:w="110" w:type="dxa"/>
            </w:tcMar>
          </w:tcPr>
          <w:p w:rsidRPr="00375269" w:rsidR="00857359" w:rsidP="00857359" w:rsidRDefault="00857359" w14:paraId="7C5A2B2B" w14:textId="77777777">
            <w:pPr>
              <w:spacing w:line="264" w:lineRule="auto"/>
              <w:rPr>
                <w:rFonts w:eastAsia="Aptos" w:cs="Times New Roman"/>
              </w:rPr>
            </w:pPr>
            <w:r w:rsidRPr="00375269">
              <w:rPr>
                <w:rFonts w:eastAsia="Aptos" w:cs="Times New Roman"/>
              </w:rPr>
              <w:t xml:space="preserve">Pooled Funding </w:t>
            </w:r>
          </w:p>
        </w:tc>
        <w:tc>
          <w:tcPr>
            <w:tcW w:w="0" w:type="auto"/>
            <w:tcMar>
              <w:top w:w="90" w:type="dxa"/>
              <w:left w:w="110" w:type="dxa"/>
              <w:bottom w:w="90" w:type="dxa"/>
              <w:right w:w="110" w:type="dxa"/>
            </w:tcMar>
          </w:tcPr>
          <w:p w:rsidRPr="00375269" w:rsidR="00857359" w:rsidP="00857359" w:rsidRDefault="00857359" w14:paraId="2A3710AD" w14:textId="6560EA3B">
            <w:pPr>
              <w:spacing w:line="264" w:lineRule="auto"/>
              <w:rPr>
                <w:rFonts w:eastAsia="Aptos" w:cs="Times New Roman"/>
              </w:rPr>
            </w:pPr>
            <w:r w:rsidRPr="00BD1EC9">
              <w:rPr>
                <w:rFonts w:eastAsia="Aptos" w:cs="Times New Roman"/>
              </w:rPr>
              <w:t>WRP Funding allocated to the WRP Pooled Fund.</w:t>
            </w:r>
          </w:p>
        </w:tc>
      </w:tr>
      <w:tr w:rsidRPr="00375269" w:rsidR="00857359" w:rsidTr="000D6ED2" w14:paraId="4488901C" w14:textId="77777777">
        <w:trPr>
          <w:cantSplit/>
          <w:jc w:val="center"/>
        </w:trPr>
        <w:tc>
          <w:tcPr>
            <w:tcW w:w="0" w:type="auto"/>
            <w:tcMar>
              <w:top w:w="90" w:type="dxa"/>
              <w:left w:w="110" w:type="dxa"/>
              <w:bottom w:w="90" w:type="dxa"/>
              <w:right w:w="110" w:type="dxa"/>
            </w:tcMar>
          </w:tcPr>
          <w:p w:rsidRPr="00375269" w:rsidR="00857359" w:rsidP="00857359" w:rsidRDefault="00857359" w14:paraId="460BB9BD" w14:textId="77418628">
            <w:pPr>
              <w:spacing w:line="264" w:lineRule="auto"/>
              <w:rPr>
                <w:rFonts w:eastAsia="Aptos" w:cs="Times New Roman"/>
              </w:rPr>
            </w:pPr>
            <w:r w:rsidRPr="00D161E9">
              <w:t xml:space="preserve">PRP </w:t>
            </w:r>
          </w:p>
        </w:tc>
        <w:tc>
          <w:tcPr>
            <w:tcW w:w="0" w:type="auto"/>
            <w:tcMar>
              <w:top w:w="90" w:type="dxa"/>
              <w:left w:w="110" w:type="dxa"/>
              <w:bottom w:w="90" w:type="dxa"/>
              <w:right w:w="110" w:type="dxa"/>
            </w:tcMar>
          </w:tcPr>
          <w:p w:rsidRPr="00375269" w:rsidR="00857359" w:rsidP="00857359" w:rsidRDefault="00857359" w14:paraId="4AE16911" w14:textId="5BED297F">
            <w:pPr>
              <w:spacing w:line="264" w:lineRule="auto"/>
              <w:rPr>
                <w:rFonts w:eastAsia="Aptos" w:cs="Times New Roman"/>
              </w:rPr>
            </w:pPr>
            <w:r>
              <w:t>T</w:t>
            </w:r>
            <w:r w:rsidRPr="00D161E9">
              <w:t>he Pacific Resilience Partnership.</w:t>
            </w:r>
          </w:p>
        </w:tc>
      </w:tr>
      <w:tr w:rsidRPr="00375269" w:rsidR="00857359" w:rsidTr="00375269" w14:paraId="00F89181" w14:textId="77777777">
        <w:trPr>
          <w:cantSplit/>
          <w:jc w:val="center"/>
        </w:trPr>
        <w:tc>
          <w:tcPr>
            <w:tcW w:w="0" w:type="auto"/>
            <w:tcMar>
              <w:top w:w="90" w:type="dxa"/>
              <w:left w:w="110" w:type="dxa"/>
              <w:bottom w:w="90" w:type="dxa"/>
              <w:right w:w="110" w:type="dxa"/>
            </w:tcMar>
            <w:vAlign w:val="center"/>
          </w:tcPr>
          <w:p w:rsidRPr="00375269" w:rsidR="00857359" w:rsidP="00857359" w:rsidRDefault="00857359" w14:paraId="725F95A1" w14:textId="250ECD75">
            <w:pPr>
              <w:spacing w:line="264" w:lineRule="auto"/>
              <w:rPr>
                <w:rFonts w:eastAsia="Aptos" w:cs="Times New Roman"/>
              </w:rPr>
            </w:pPr>
          </w:p>
        </w:tc>
        <w:tc>
          <w:tcPr>
            <w:tcW w:w="0" w:type="auto"/>
            <w:tcMar>
              <w:top w:w="90" w:type="dxa"/>
              <w:left w:w="110" w:type="dxa"/>
              <w:bottom w:w="90" w:type="dxa"/>
              <w:right w:w="110" w:type="dxa"/>
            </w:tcMar>
            <w:vAlign w:val="center"/>
          </w:tcPr>
          <w:p w:rsidRPr="00375269" w:rsidR="00857359" w:rsidP="00857359" w:rsidRDefault="00857359" w14:paraId="57FC3135" w14:textId="43ECBA86">
            <w:pPr>
              <w:spacing w:line="264" w:lineRule="auto"/>
              <w:rPr>
                <w:rFonts w:eastAsia="Aptos" w:cs="Times New Roman"/>
              </w:rPr>
            </w:pPr>
          </w:p>
        </w:tc>
      </w:tr>
      <w:tr w:rsidRPr="00375269" w:rsidR="00857359" w:rsidTr="000D6ED2" w14:paraId="42A8173E" w14:textId="77777777">
        <w:trPr>
          <w:cantSplit/>
          <w:jc w:val="center"/>
        </w:trPr>
        <w:tc>
          <w:tcPr>
            <w:tcW w:w="0" w:type="auto"/>
            <w:tcMar>
              <w:top w:w="90" w:type="dxa"/>
              <w:left w:w="110" w:type="dxa"/>
              <w:bottom w:w="90" w:type="dxa"/>
              <w:right w:w="110" w:type="dxa"/>
            </w:tcMar>
          </w:tcPr>
          <w:p w:rsidRPr="00375269" w:rsidR="00857359" w:rsidP="00857359" w:rsidRDefault="00857359" w14:paraId="0D336C71" w14:textId="646A6E6E">
            <w:pPr>
              <w:spacing w:line="264" w:lineRule="auto"/>
              <w:rPr>
                <w:rFonts w:eastAsia="Aptos" w:cs="Times New Roman"/>
              </w:rPr>
            </w:pPr>
            <w:r w:rsidRPr="00B86730">
              <w:t xml:space="preserve">Ringfenced Funding </w:t>
            </w:r>
          </w:p>
        </w:tc>
        <w:tc>
          <w:tcPr>
            <w:tcW w:w="0" w:type="auto"/>
            <w:tcMar>
              <w:top w:w="90" w:type="dxa"/>
              <w:left w:w="110" w:type="dxa"/>
              <w:bottom w:w="90" w:type="dxa"/>
              <w:right w:w="110" w:type="dxa"/>
            </w:tcMar>
          </w:tcPr>
          <w:p w:rsidRPr="00375269" w:rsidR="00857359" w:rsidP="00857359" w:rsidRDefault="00857359" w14:paraId="08D3DBE8" w14:textId="3AEB90DC">
            <w:pPr>
              <w:spacing w:line="264" w:lineRule="auto"/>
              <w:rPr>
                <w:rFonts w:eastAsia="Aptos" w:cs="Times New Roman"/>
              </w:rPr>
            </w:pPr>
            <w:r w:rsidRPr="00B86730">
              <w:t xml:space="preserve">WRP Funding that is subject to restrictions or conditions approved by </w:t>
            </w:r>
            <w:r>
              <w:t>SPREP (via the PMU)</w:t>
            </w:r>
            <w:r w:rsidRPr="00B86730">
              <w:t xml:space="preserve"> that is not allocated to the WRP Pooled Fund.</w:t>
            </w:r>
          </w:p>
        </w:tc>
      </w:tr>
      <w:tr w:rsidRPr="00375269" w:rsidR="00857359" w:rsidTr="00375269" w14:paraId="0D9F4419" w14:textId="77777777">
        <w:trPr>
          <w:cantSplit/>
          <w:jc w:val="center"/>
        </w:trPr>
        <w:tc>
          <w:tcPr>
            <w:tcW w:w="0" w:type="auto"/>
            <w:tcMar>
              <w:top w:w="90" w:type="dxa"/>
              <w:left w:w="110" w:type="dxa"/>
              <w:bottom w:w="90" w:type="dxa"/>
              <w:right w:w="110" w:type="dxa"/>
            </w:tcMar>
          </w:tcPr>
          <w:p w:rsidRPr="00375269" w:rsidR="00857359" w:rsidP="00857359" w:rsidRDefault="00857359" w14:paraId="79E7E608" w14:textId="77777777">
            <w:pPr>
              <w:spacing w:line="264" w:lineRule="auto"/>
              <w:rPr>
                <w:rFonts w:eastAsia="Aptos" w:cs="Times New Roman"/>
              </w:rPr>
            </w:pPr>
            <w:r w:rsidRPr="00375269">
              <w:rPr>
                <w:rFonts w:eastAsia="Aptos" w:cs="Times New Roman"/>
              </w:rPr>
              <w:t xml:space="preserve">SPREP </w:t>
            </w:r>
          </w:p>
        </w:tc>
        <w:tc>
          <w:tcPr>
            <w:tcW w:w="0" w:type="auto"/>
            <w:tcMar>
              <w:top w:w="90" w:type="dxa"/>
              <w:left w:w="110" w:type="dxa"/>
              <w:bottom w:w="90" w:type="dxa"/>
              <w:right w:w="110" w:type="dxa"/>
            </w:tcMar>
          </w:tcPr>
          <w:p w:rsidRPr="00375269" w:rsidR="00857359" w:rsidP="00857359" w:rsidRDefault="00857359" w14:paraId="5070ACBA" w14:textId="77777777">
            <w:pPr>
              <w:spacing w:line="264" w:lineRule="auto"/>
              <w:rPr>
                <w:rFonts w:eastAsia="Aptos" w:cs="Times New Roman"/>
              </w:rPr>
            </w:pPr>
            <w:r w:rsidRPr="00375269">
              <w:rPr>
                <w:rFonts w:eastAsia="Aptos" w:cs="Times New Roman"/>
              </w:rPr>
              <w:t>The Secretariat of the Pacific Regional Environment Programme.</w:t>
            </w:r>
          </w:p>
        </w:tc>
      </w:tr>
      <w:tr w:rsidRPr="00375269" w:rsidR="00857359" w:rsidTr="00375269" w14:paraId="73FBB664" w14:textId="77777777">
        <w:trPr>
          <w:cantSplit/>
          <w:jc w:val="center"/>
        </w:trPr>
        <w:tc>
          <w:tcPr>
            <w:tcW w:w="0" w:type="auto"/>
            <w:tcMar>
              <w:top w:w="90" w:type="dxa"/>
              <w:left w:w="110" w:type="dxa"/>
              <w:bottom w:w="90" w:type="dxa"/>
              <w:right w:w="110" w:type="dxa"/>
            </w:tcMar>
          </w:tcPr>
          <w:p w:rsidRPr="00375269" w:rsidR="00857359" w:rsidP="00857359" w:rsidRDefault="00857359" w14:paraId="32043578" w14:textId="77777777">
            <w:pPr>
              <w:spacing w:line="264" w:lineRule="auto"/>
              <w:rPr>
                <w:rFonts w:eastAsia="Aptos" w:cs="Times New Roman"/>
              </w:rPr>
            </w:pPr>
            <w:r w:rsidRPr="00375269">
              <w:rPr>
                <w:rFonts w:eastAsia="Aptos" w:cs="Times New Roman"/>
              </w:rPr>
              <w:t xml:space="preserve">SPREP Agreement </w:t>
            </w:r>
          </w:p>
        </w:tc>
        <w:tc>
          <w:tcPr>
            <w:tcW w:w="0" w:type="auto"/>
            <w:tcMar>
              <w:top w:w="90" w:type="dxa"/>
              <w:left w:w="110" w:type="dxa"/>
              <w:bottom w:w="90" w:type="dxa"/>
              <w:right w:w="110" w:type="dxa"/>
            </w:tcMar>
          </w:tcPr>
          <w:p w:rsidRPr="00375269" w:rsidR="00857359" w:rsidP="00857359" w:rsidRDefault="00857359" w14:paraId="668413E2" w14:textId="77777777">
            <w:pPr>
              <w:spacing w:line="264" w:lineRule="auto"/>
              <w:rPr>
                <w:rFonts w:eastAsia="Aptos" w:cs="Times New Roman"/>
              </w:rPr>
            </w:pPr>
            <w:r w:rsidRPr="00375269">
              <w:rPr>
                <w:rFonts w:eastAsia="Aptos" w:cs="Times New Roman"/>
              </w:rPr>
              <w:t xml:space="preserve">The 1993 international treaty that established SPREP as an independent intergovernmental organization. </w:t>
            </w:r>
          </w:p>
        </w:tc>
      </w:tr>
      <w:tr w:rsidRPr="00375269" w:rsidR="00857359" w:rsidTr="00375269" w14:paraId="03378DA6" w14:textId="77777777">
        <w:trPr>
          <w:cantSplit/>
          <w:jc w:val="center"/>
        </w:trPr>
        <w:tc>
          <w:tcPr>
            <w:tcW w:w="0" w:type="auto"/>
            <w:tcMar>
              <w:top w:w="90" w:type="dxa"/>
              <w:left w:w="110" w:type="dxa"/>
              <w:bottom w:w="90" w:type="dxa"/>
              <w:right w:w="110" w:type="dxa"/>
            </w:tcMar>
          </w:tcPr>
          <w:p w:rsidRPr="00375269" w:rsidR="00857359" w:rsidP="00857359" w:rsidRDefault="00857359" w14:paraId="1A910CBF" w14:textId="77777777">
            <w:pPr>
              <w:spacing w:line="264" w:lineRule="auto"/>
              <w:rPr>
                <w:rFonts w:eastAsia="Aptos" w:cs="Times New Roman"/>
              </w:rPr>
            </w:pPr>
            <w:r w:rsidRPr="00375269">
              <w:rPr>
                <w:rFonts w:eastAsia="Aptos" w:cs="Times New Roman"/>
              </w:rPr>
              <w:t xml:space="preserve">SPREP Meeting </w:t>
            </w:r>
          </w:p>
        </w:tc>
        <w:tc>
          <w:tcPr>
            <w:tcW w:w="0" w:type="auto"/>
            <w:tcMar>
              <w:top w:w="90" w:type="dxa"/>
              <w:left w:w="110" w:type="dxa"/>
              <w:bottom w:w="90" w:type="dxa"/>
              <w:right w:w="110" w:type="dxa"/>
            </w:tcMar>
          </w:tcPr>
          <w:p w:rsidRPr="00375269" w:rsidR="00857359" w:rsidP="00857359" w:rsidRDefault="00857359" w14:paraId="49A2BCF3" w14:textId="77777777">
            <w:pPr>
              <w:spacing w:line="264" w:lineRule="auto"/>
              <w:rPr>
                <w:rFonts w:eastAsia="Aptos" w:cs="Times New Roman"/>
              </w:rPr>
            </w:pPr>
            <w:r w:rsidRPr="00375269">
              <w:rPr>
                <w:rFonts w:eastAsia="Aptos" w:cs="Times New Roman"/>
              </w:rPr>
              <w:t>The biennial meeting of SPREP members that is the plenary decision-making body established by the SPREP Agreement.</w:t>
            </w:r>
          </w:p>
        </w:tc>
      </w:tr>
      <w:tr w:rsidRPr="00375269" w:rsidR="00857359" w:rsidTr="00375269" w14:paraId="12BE3C7E" w14:textId="77777777">
        <w:trPr>
          <w:cantSplit/>
          <w:jc w:val="center"/>
        </w:trPr>
        <w:tc>
          <w:tcPr>
            <w:tcW w:w="0" w:type="auto"/>
            <w:tcMar>
              <w:top w:w="90" w:type="dxa"/>
              <w:left w:w="110" w:type="dxa"/>
              <w:bottom w:w="90" w:type="dxa"/>
              <w:right w:w="110" w:type="dxa"/>
            </w:tcMar>
            <w:vAlign w:val="center"/>
          </w:tcPr>
          <w:p w:rsidRPr="00375269" w:rsidR="00857359" w:rsidP="00857359" w:rsidRDefault="00857359" w14:paraId="0541C4D8" w14:textId="77777777">
            <w:pPr>
              <w:spacing w:line="264" w:lineRule="auto"/>
              <w:rPr>
                <w:rFonts w:eastAsia="Aptos" w:cs="Times New Roman"/>
              </w:rPr>
            </w:pPr>
            <w:r w:rsidRPr="00375269">
              <w:rPr>
                <w:rFonts w:eastAsia="Aptos" w:cs="Times New Roman"/>
              </w:rPr>
              <w:t>SPREP Policies</w:t>
            </w:r>
          </w:p>
        </w:tc>
        <w:tc>
          <w:tcPr>
            <w:tcW w:w="0" w:type="auto"/>
            <w:tcMar>
              <w:top w:w="90" w:type="dxa"/>
              <w:left w:w="110" w:type="dxa"/>
              <w:bottom w:w="90" w:type="dxa"/>
              <w:right w:w="110" w:type="dxa"/>
            </w:tcMar>
            <w:vAlign w:val="center"/>
          </w:tcPr>
          <w:p w:rsidRPr="00375269" w:rsidR="00857359" w:rsidP="00857359" w:rsidRDefault="00857359" w14:paraId="4729340A" w14:textId="77777777">
            <w:pPr>
              <w:spacing w:line="264" w:lineRule="auto"/>
              <w:rPr>
                <w:rFonts w:eastAsia="Aptos" w:cs="Times New Roman"/>
              </w:rPr>
            </w:pPr>
            <w:r w:rsidRPr="00375269">
              <w:rPr>
                <w:rFonts w:eastAsia="Aptos" w:cs="Times New Roman"/>
              </w:rPr>
              <w:t>SPREP’s internal regulations, rules, policies, procedures, manuals and delegations, including those for finance, procurement, fraud control, investigation, safeguarding, child protection, records, privacy, and asset management.</w:t>
            </w:r>
          </w:p>
        </w:tc>
      </w:tr>
      <w:tr w:rsidRPr="00375269" w:rsidR="00857359" w:rsidTr="00375269" w14:paraId="0601F299" w14:textId="77777777">
        <w:trPr>
          <w:cantSplit/>
          <w:jc w:val="center"/>
        </w:trPr>
        <w:tc>
          <w:tcPr>
            <w:tcW w:w="0" w:type="auto"/>
            <w:tcMar>
              <w:top w:w="90" w:type="dxa"/>
              <w:left w:w="110" w:type="dxa"/>
              <w:bottom w:w="90" w:type="dxa"/>
              <w:right w:w="110" w:type="dxa"/>
            </w:tcMar>
            <w:vAlign w:val="center"/>
          </w:tcPr>
          <w:p w:rsidRPr="00375269" w:rsidR="00857359" w:rsidP="00857359" w:rsidRDefault="00857359" w14:paraId="2723624D" w14:textId="77777777">
            <w:pPr>
              <w:spacing w:line="264" w:lineRule="auto"/>
              <w:rPr>
                <w:rFonts w:eastAsia="Aptos" w:cs="Times New Roman"/>
              </w:rPr>
            </w:pPr>
            <w:r w:rsidRPr="00375269">
              <w:rPr>
                <w:rFonts w:eastAsia="Aptos" w:cs="Times New Roman"/>
              </w:rPr>
              <w:t>Steering Committee</w:t>
            </w:r>
          </w:p>
        </w:tc>
        <w:tc>
          <w:tcPr>
            <w:tcW w:w="0" w:type="auto"/>
            <w:tcMar>
              <w:top w:w="90" w:type="dxa"/>
              <w:left w:w="110" w:type="dxa"/>
              <w:bottom w:w="90" w:type="dxa"/>
              <w:right w:w="110" w:type="dxa"/>
            </w:tcMar>
            <w:vAlign w:val="center"/>
          </w:tcPr>
          <w:p w:rsidRPr="00375269" w:rsidR="00857359" w:rsidP="00857359" w:rsidRDefault="00857359" w14:paraId="137EE41D" w14:textId="326A4781">
            <w:pPr>
              <w:spacing w:line="264" w:lineRule="auto"/>
              <w:rPr>
                <w:rFonts w:eastAsia="Aptos" w:cs="Times New Roman"/>
              </w:rPr>
            </w:pPr>
            <w:r w:rsidRPr="00375269">
              <w:rPr>
                <w:rFonts w:eastAsia="Aptos" w:cs="Times New Roman"/>
              </w:rPr>
              <w:t xml:space="preserve">The primary strategic oversight body for WRP as established in accordance with the Charter and </w:t>
            </w:r>
            <w:r w:rsidRPr="005E6192">
              <w:rPr>
                <w:rFonts w:eastAsia="Aptos" w:cs="Times New Roman"/>
              </w:rPr>
              <w:t>Section 6.2 of Chapter 1 of the Operations Manual.</w:t>
            </w:r>
          </w:p>
        </w:tc>
      </w:tr>
      <w:tr w:rsidRPr="00375269" w:rsidR="00857359" w:rsidTr="000D6ED2" w14:paraId="00FC8E97" w14:textId="77777777">
        <w:trPr>
          <w:cantSplit/>
          <w:jc w:val="center"/>
        </w:trPr>
        <w:tc>
          <w:tcPr>
            <w:tcW w:w="0" w:type="auto"/>
            <w:tcMar>
              <w:top w:w="90" w:type="dxa"/>
              <w:left w:w="110" w:type="dxa"/>
              <w:bottom w:w="90" w:type="dxa"/>
              <w:right w:w="110" w:type="dxa"/>
            </w:tcMar>
          </w:tcPr>
          <w:p w:rsidRPr="00375269" w:rsidR="00857359" w:rsidP="00857359" w:rsidRDefault="00857359" w14:paraId="3C87114E" w14:textId="3FA7C58C">
            <w:pPr>
              <w:spacing w:line="264" w:lineRule="auto"/>
              <w:rPr>
                <w:rFonts w:eastAsia="Aptos" w:cs="Times New Roman"/>
              </w:rPr>
            </w:pPr>
            <w:r w:rsidRPr="0058381F">
              <w:t xml:space="preserve">Technical Committee </w:t>
            </w:r>
          </w:p>
        </w:tc>
        <w:tc>
          <w:tcPr>
            <w:tcW w:w="0" w:type="auto"/>
            <w:tcMar>
              <w:top w:w="90" w:type="dxa"/>
              <w:left w:w="110" w:type="dxa"/>
              <w:bottom w:w="90" w:type="dxa"/>
              <w:right w:w="110" w:type="dxa"/>
            </w:tcMar>
          </w:tcPr>
          <w:p w:rsidRPr="00375269" w:rsidR="00857359" w:rsidP="00857359" w:rsidRDefault="00857359" w14:paraId="24AFA292" w14:textId="08EEFFAF">
            <w:pPr>
              <w:spacing w:line="264" w:lineRule="auto"/>
              <w:rPr>
                <w:rFonts w:eastAsia="Aptos" w:cs="Times New Roman"/>
              </w:rPr>
            </w:pPr>
            <w:r>
              <w:t>T</w:t>
            </w:r>
            <w:r w:rsidRPr="0058381F">
              <w:t xml:space="preserve">he forum established in accordance with Section [6.6?] of Chapter 1 of the Operations Manual. </w:t>
            </w:r>
          </w:p>
        </w:tc>
      </w:tr>
      <w:tr w:rsidRPr="00375269" w:rsidR="00857359" w:rsidTr="00F659D0" w14:paraId="6F25111C" w14:textId="77777777">
        <w:trPr>
          <w:cantSplit/>
          <w:jc w:val="center"/>
        </w:trPr>
        <w:tc>
          <w:tcPr>
            <w:tcW w:w="0" w:type="auto"/>
            <w:tcMar>
              <w:top w:w="90" w:type="dxa"/>
              <w:left w:w="110" w:type="dxa"/>
              <w:bottom w:w="90" w:type="dxa"/>
              <w:right w:w="110" w:type="dxa"/>
            </w:tcMar>
          </w:tcPr>
          <w:p w:rsidRPr="0058381F" w:rsidR="00857359" w:rsidP="00857359" w:rsidRDefault="00857359" w14:paraId="40A8DF0C" w14:textId="375A1CA8">
            <w:pPr>
              <w:spacing w:line="264" w:lineRule="auto"/>
            </w:pPr>
            <w:r w:rsidRPr="00713AEA">
              <w:t xml:space="preserve">Technical Working Group </w:t>
            </w:r>
          </w:p>
        </w:tc>
        <w:tc>
          <w:tcPr>
            <w:tcW w:w="0" w:type="auto"/>
            <w:tcMar>
              <w:top w:w="90" w:type="dxa"/>
              <w:left w:w="110" w:type="dxa"/>
              <w:bottom w:w="90" w:type="dxa"/>
              <w:right w:w="110" w:type="dxa"/>
            </w:tcMar>
          </w:tcPr>
          <w:p w:rsidR="00857359" w:rsidP="00857359" w:rsidRDefault="00857359" w14:paraId="2981AF0B" w14:textId="1580304F">
            <w:pPr>
              <w:spacing w:line="264" w:lineRule="auto"/>
            </w:pPr>
            <w:r>
              <w:t>T</w:t>
            </w:r>
            <w:r w:rsidRPr="00713AEA">
              <w:t>he technical working group of the PRP.</w:t>
            </w:r>
          </w:p>
        </w:tc>
      </w:tr>
      <w:tr w:rsidRPr="00375269" w:rsidR="00857359" w:rsidTr="00375269" w14:paraId="50C52899" w14:textId="77777777">
        <w:trPr>
          <w:cantSplit/>
          <w:jc w:val="center"/>
        </w:trPr>
        <w:tc>
          <w:tcPr>
            <w:tcW w:w="0" w:type="auto"/>
            <w:tcMar>
              <w:top w:w="90" w:type="dxa"/>
              <w:left w:w="110" w:type="dxa"/>
              <w:bottom w:w="90" w:type="dxa"/>
              <w:right w:w="110" w:type="dxa"/>
            </w:tcMar>
          </w:tcPr>
          <w:p w:rsidRPr="00375269" w:rsidR="00857359" w:rsidP="00857359" w:rsidRDefault="00857359" w14:paraId="3FAD2771" w14:textId="7E0AB681">
            <w:pPr>
              <w:spacing w:line="264" w:lineRule="auto"/>
              <w:rPr>
                <w:rFonts w:eastAsia="Aptos" w:cs="Times New Roman"/>
              </w:rPr>
            </w:pPr>
            <w:r w:rsidRPr="00DD606E">
              <w:t xml:space="preserve">WRP </w:t>
            </w:r>
          </w:p>
        </w:tc>
        <w:tc>
          <w:tcPr>
            <w:tcW w:w="0" w:type="auto"/>
            <w:tcMar>
              <w:top w:w="90" w:type="dxa"/>
              <w:left w:w="110" w:type="dxa"/>
              <w:bottom w:w="90" w:type="dxa"/>
              <w:right w:w="110" w:type="dxa"/>
            </w:tcMar>
          </w:tcPr>
          <w:p w:rsidRPr="00375269" w:rsidR="00857359" w:rsidP="00857359" w:rsidRDefault="00857359" w14:paraId="70CF0379" w14:textId="207BE30F">
            <w:pPr>
              <w:spacing w:line="264" w:lineRule="auto"/>
              <w:rPr>
                <w:rFonts w:eastAsia="Aptos" w:cs="Times New Roman"/>
              </w:rPr>
            </w:pPr>
            <w:r w:rsidRPr="00DD606E">
              <w:t>Weather Ready Pacific.</w:t>
            </w:r>
          </w:p>
        </w:tc>
      </w:tr>
      <w:tr w:rsidRPr="00375269" w:rsidR="00857359" w:rsidTr="00375269" w14:paraId="639FA5F1" w14:textId="77777777">
        <w:trPr>
          <w:cantSplit/>
          <w:jc w:val="center"/>
        </w:trPr>
        <w:tc>
          <w:tcPr>
            <w:tcW w:w="0" w:type="auto"/>
            <w:tcMar>
              <w:top w:w="90" w:type="dxa"/>
              <w:left w:w="110" w:type="dxa"/>
              <w:bottom w:w="90" w:type="dxa"/>
              <w:right w:w="110" w:type="dxa"/>
            </w:tcMar>
          </w:tcPr>
          <w:p w:rsidRPr="00375269" w:rsidR="00857359" w:rsidP="00857359" w:rsidRDefault="00857359" w14:paraId="13C484B1" w14:textId="77777777">
            <w:pPr>
              <w:spacing w:line="264" w:lineRule="auto"/>
              <w:rPr>
                <w:rFonts w:eastAsia="Aptos" w:cs="Times New Roman"/>
              </w:rPr>
            </w:pPr>
            <w:r w:rsidRPr="00375269">
              <w:rPr>
                <w:rFonts w:eastAsia="Aptos" w:cs="Times New Roman"/>
              </w:rPr>
              <w:t xml:space="preserve">WRP Donor </w:t>
            </w:r>
          </w:p>
        </w:tc>
        <w:tc>
          <w:tcPr>
            <w:tcW w:w="0" w:type="auto"/>
            <w:tcMar>
              <w:top w:w="90" w:type="dxa"/>
              <w:left w:w="110" w:type="dxa"/>
              <w:bottom w:w="90" w:type="dxa"/>
              <w:right w:w="110" w:type="dxa"/>
            </w:tcMar>
          </w:tcPr>
          <w:p w:rsidRPr="00375269" w:rsidR="00857359" w:rsidP="00857359" w:rsidRDefault="00857359" w14:paraId="75233B1C" w14:textId="60C62DCA">
            <w:pPr>
              <w:spacing w:line="264" w:lineRule="auto"/>
              <w:rPr>
                <w:rFonts w:eastAsia="Aptos" w:cs="Times New Roman"/>
              </w:rPr>
            </w:pPr>
            <w:r w:rsidRPr="00375269">
              <w:rPr>
                <w:rFonts w:eastAsia="Aptos" w:cs="Times New Roman"/>
              </w:rPr>
              <w:t>Any bilateral donor, United Nations organisation, international financial institution, multilateral climate finance fund or equivalent institution, philanthropic partner</w:t>
            </w:r>
            <w:r>
              <w:rPr>
                <w:rFonts w:eastAsia="Aptos" w:cs="Times New Roman"/>
              </w:rPr>
              <w:t>, public</w:t>
            </w:r>
            <w:r w:rsidRPr="00375269">
              <w:rPr>
                <w:rFonts w:eastAsia="Aptos" w:cs="Times New Roman"/>
              </w:rPr>
              <w:t xml:space="preserve"> or private sector entity that has entered into a funding instrument with SPREP for </w:t>
            </w:r>
            <w:r>
              <w:rPr>
                <w:rFonts w:eastAsia="Aptos" w:cs="Times New Roman"/>
              </w:rPr>
              <w:t>WRP F</w:t>
            </w:r>
            <w:r w:rsidRPr="00375269">
              <w:rPr>
                <w:rFonts w:eastAsia="Aptos" w:cs="Times New Roman"/>
              </w:rPr>
              <w:t>unding</w:t>
            </w:r>
            <w:r>
              <w:rPr>
                <w:rFonts w:eastAsia="Aptos" w:cs="Times New Roman"/>
              </w:rPr>
              <w:t xml:space="preserve">, or that is providing Other Support </w:t>
            </w:r>
            <w:r w:rsidRPr="00375269">
              <w:rPr>
                <w:rFonts w:eastAsia="Aptos" w:cs="Times New Roman"/>
              </w:rPr>
              <w:t xml:space="preserve"> in accordance with the Charter.</w:t>
            </w:r>
          </w:p>
        </w:tc>
      </w:tr>
      <w:tr w:rsidRPr="00375269" w:rsidR="00857359" w:rsidTr="00375269" w14:paraId="49AD7EFE" w14:textId="77777777">
        <w:trPr>
          <w:cantSplit/>
          <w:jc w:val="center"/>
        </w:trPr>
        <w:tc>
          <w:tcPr>
            <w:tcW w:w="0" w:type="auto"/>
            <w:tcMar>
              <w:top w:w="90" w:type="dxa"/>
              <w:left w:w="110" w:type="dxa"/>
              <w:bottom w:w="90" w:type="dxa"/>
              <w:right w:w="110" w:type="dxa"/>
            </w:tcMar>
          </w:tcPr>
          <w:p w:rsidRPr="00375269" w:rsidR="00857359" w:rsidP="00857359" w:rsidRDefault="00857359" w14:paraId="7EAE09A8" w14:textId="77777777">
            <w:pPr>
              <w:spacing w:line="264" w:lineRule="auto"/>
              <w:rPr>
                <w:rFonts w:eastAsia="Aptos" w:cs="Times New Roman"/>
              </w:rPr>
            </w:pPr>
            <w:r w:rsidRPr="00375269">
              <w:rPr>
                <w:rFonts w:eastAsia="Aptos" w:cs="Times New Roman"/>
              </w:rPr>
              <w:lastRenderedPageBreak/>
              <w:t xml:space="preserve">WRP Funding </w:t>
            </w:r>
          </w:p>
        </w:tc>
        <w:tc>
          <w:tcPr>
            <w:tcW w:w="0" w:type="auto"/>
            <w:tcMar>
              <w:top w:w="90" w:type="dxa"/>
              <w:left w:w="110" w:type="dxa"/>
              <w:bottom w:w="90" w:type="dxa"/>
              <w:right w:w="110" w:type="dxa"/>
            </w:tcMar>
          </w:tcPr>
          <w:p w:rsidRPr="00375269" w:rsidR="00857359" w:rsidP="00857359" w:rsidRDefault="00857359" w14:paraId="75B55C94" w14:textId="42B54022">
            <w:pPr>
              <w:spacing w:line="264" w:lineRule="auto"/>
              <w:rPr>
                <w:rFonts w:eastAsia="Aptos" w:cs="Times New Roman"/>
              </w:rPr>
            </w:pPr>
            <w:r w:rsidRPr="00375269">
              <w:rPr>
                <w:rFonts w:eastAsia="Aptos" w:cs="Times New Roman"/>
              </w:rPr>
              <w:t>All WRP Donor funding committed for WRP activities, including Pooled Funding</w:t>
            </w:r>
            <w:r>
              <w:rPr>
                <w:rFonts w:eastAsia="Aptos" w:cs="Times New Roman"/>
              </w:rPr>
              <w:t xml:space="preserve"> and Ringfenced Funding but excluding </w:t>
            </w:r>
            <w:r w:rsidR="00CA1CEF">
              <w:rPr>
                <w:rFonts w:eastAsia="Aptos" w:cs="Times New Roman"/>
              </w:rPr>
              <w:t>Other S</w:t>
            </w:r>
            <w:r>
              <w:rPr>
                <w:rFonts w:eastAsia="Aptos" w:cs="Times New Roman"/>
              </w:rPr>
              <w:t>upport</w:t>
            </w:r>
            <w:r w:rsidRPr="00375269">
              <w:rPr>
                <w:rFonts w:eastAsia="Aptos" w:cs="Times New Roman"/>
              </w:rPr>
              <w:t>.</w:t>
            </w:r>
            <w:r>
              <w:rPr>
                <w:rFonts w:eastAsia="Aptos" w:cs="Times New Roman"/>
              </w:rPr>
              <w:t xml:space="preserve">   </w:t>
            </w:r>
          </w:p>
        </w:tc>
      </w:tr>
      <w:tr w:rsidRPr="00375269" w:rsidR="00857359" w:rsidTr="00375269" w14:paraId="39389E57" w14:textId="77777777">
        <w:trPr>
          <w:cantSplit/>
          <w:jc w:val="center"/>
        </w:trPr>
        <w:tc>
          <w:tcPr>
            <w:tcW w:w="0" w:type="auto"/>
            <w:tcMar>
              <w:top w:w="90" w:type="dxa"/>
              <w:left w:w="110" w:type="dxa"/>
              <w:bottom w:w="90" w:type="dxa"/>
              <w:right w:w="110" w:type="dxa"/>
            </w:tcMar>
            <w:vAlign w:val="center"/>
          </w:tcPr>
          <w:p w:rsidRPr="00375269" w:rsidR="00857359" w:rsidP="00857359" w:rsidRDefault="00857359" w14:paraId="1FEDBF66" w14:textId="77777777">
            <w:pPr>
              <w:spacing w:line="264" w:lineRule="auto"/>
              <w:rPr>
                <w:rFonts w:eastAsia="Aptos" w:cs="Times New Roman"/>
              </w:rPr>
            </w:pPr>
            <w:r w:rsidRPr="00375269">
              <w:rPr>
                <w:rFonts w:eastAsia="Aptos" w:cs="Times New Roman"/>
              </w:rPr>
              <w:t>WRP Pooled Fund</w:t>
            </w:r>
          </w:p>
        </w:tc>
        <w:tc>
          <w:tcPr>
            <w:tcW w:w="0" w:type="auto"/>
            <w:tcMar>
              <w:top w:w="90" w:type="dxa"/>
              <w:left w:w="110" w:type="dxa"/>
              <w:bottom w:w="90" w:type="dxa"/>
              <w:right w:w="110" w:type="dxa"/>
            </w:tcMar>
            <w:vAlign w:val="center"/>
          </w:tcPr>
          <w:p w:rsidRPr="00375269" w:rsidR="00857359" w:rsidP="00857359" w:rsidRDefault="00857359" w14:paraId="7ED47FD2" w14:textId="77777777">
            <w:pPr>
              <w:spacing w:line="264" w:lineRule="auto"/>
              <w:rPr>
                <w:rFonts w:eastAsia="Aptos" w:cs="Times New Roman"/>
              </w:rPr>
            </w:pPr>
            <w:r w:rsidRPr="00375269">
              <w:rPr>
                <w:rFonts w:eastAsia="Aptos" w:cs="Times New Roman"/>
              </w:rPr>
              <w:t>The SPREP Special Account created under the Charter to hold Pooled Funding.</w:t>
            </w:r>
          </w:p>
        </w:tc>
      </w:tr>
    </w:tbl>
    <w:p w:rsidRPr="002568E8" w:rsidR="002568E8" w:rsidP="00C115C9" w:rsidRDefault="002568E8" w14:paraId="01578C61" w14:textId="77777777">
      <w:pPr>
        <w:tabs>
          <w:tab w:val="left" w:pos="3100"/>
        </w:tabs>
        <w:jc w:val="both"/>
      </w:pPr>
    </w:p>
    <w:sectPr w:rsidRPr="002568E8" w:rsidR="002568E8" w:rsidSect="00034616">
      <w:pgSz w:w="12240" w:h="15840" w:orient="portrait"/>
      <w:pgMar w:top="1152" w:right="1368" w:bottom="1152" w:left="13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20AA" w:rsidRDefault="00FF20AA" w14:paraId="6A59E1CD" w14:textId="77777777">
      <w:pPr>
        <w:spacing w:after="0" w:line="240" w:lineRule="auto"/>
      </w:pPr>
      <w:r>
        <w:separator/>
      </w:r>
    </w:p>
  </w:endnote>
  <w:endnote w:type="continuationSeparator" w:id="0">
    <w:p w:rsidR="00FF20AA" w:rsidRDefault="00FF20AA" w14:paraId="325D7BA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285436"/>
      <w:docPartObj>
        <w:docPartGallery w:val="Page Numbers (Bottom of Page)"/>
        <w:docPartUnique/>
      </w:docPartObj>
    </w:sdtPr>
    <w:sdtEndPr/>
    <w:sdtContent>
      <w:p w:rsidR="0087217D" w:rsidRDefault="0087217D" w14:paraId="4B37BB89" w14:textId="088B5391">
        <w:pPr>
          <w:pStyle w:val="Footer"/>
          <w:jc w:val="right"/>
        </w:pPr>
        <w:r>
          <w:fldChar w:fldCharType="begin"/>
        </w:r>
        <w:r>
          <w:instrText>PAGE   \* MERGEFORMAT</w:instrText>
        </w:r>
        <w:r>
          <w:fldChar w:fldCharType="separate"/>
        </w:r>
        <w:r>
          <w:rPr>
            <w:lang w:val="en-GB"/>
          </w:rPr>
          <w:t>2</w:t>
        </w:r>
        <w:r>
          <w:fldChar w:fldCharType="end"/>
        </w:r>
      </w:p>
    </w:sdtContent>
  </w:sdt>
  <w:p w:rsidR="0037504C" w:rsidRDefault="0037504C" w14:paraId="5CC4A054" w14:textId="58A4F42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20AA" w:rsidRDefault="00FF20AA" w14:paraId="62DA97C2" w14:textId="77777777">
      <w:pPr>
        <w:spacing w:after="0" w:line="240" w:lineRule="auto"/>
      </w:pPr>
      <w:r>
        <w:separator/>
      </w:r>
    </w:p>
  </w:footnote>
  <w:footnote w:type="continuationSeparator" w:id="0">
    <w:p w:rsidR="00FF20AA" w:rsidRDefault="00FF20AA" w14:paraId="5F6DC6E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058E3FB0"/>
    <w:multiLevelType w:val="hybridMultilevel"/>
    <w:tmpl w:val="0FDEF418"/>
    <w:lvl w:ilvl="0" w:tplc="FFFFFFFF">
      <w:start w:val="1"/>
      <w:numFmt w:val="lowerLetter"/>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7BE3554"/>
    <w:multiLevelType w:val="hybridMultilevel"/>
    <w:tmpl w:val="0FDEF418"/>
    <w:lvl w:ilvl="0" w:tplc="F202E8FC">
      <w:start w:val="1"/>
      <w:numFmt w:val="lowerLetter"/>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86415BD"/>
    <w:multiLevelType w:val="hybridMultilevel"/>
    <w:tmpl w:val="0FDEF418"/>
    <w:lvl w:ilvl="0" w:tplc="FFFFFFFF">
      <w:start w:val="1"/>
      <w:numFmt w:val="lowerLetter"/>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30D12D5"/>
    <w:multiLevelType w:val="hybridMultilevel"/>
    <w:tmpl w:val="588682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908042F"/>
    <w:multiLevelType w:val="hybridMultilevel"/>
    <w:tmpl w:val="7D4C519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25F4A90"/>
    <w:multiLevelType w:val="hybridMultilevel"/>
    <w:tmpl w:val="377AAD7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7B4483"/>
    <w:multiLevelType w:val="hybridMultilevel"/>
    <w:tmpl w:val="0FDEF418"/>
    <w:lvl w:ilvl="0" w:tplc="FFFFFFFF">
      <w:start w:val="1"/>
      <w:numFmt w:val="lowerLetter"/>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AC13E1"/>
    <w:multiLevelType w:val="hybridMultilevel"/>
    <w:tmpl w:val="0FDEF418"/>
    <w:lvl w:ilvl="0" w:tplc="FFFFFFFF">
      <w:start w:val="1"/>
      <w:numFmt w:val="lowerLetter"/>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4B138A9"/>
    <w:multiLevelType w:val="hybridMultilevel"/>
    <w:tmpl w:val="004EF828"/>
    <w:lvl w:ilvl="0" w:tplc="86A29F1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AC528F"/>
    <w:multiLevelType w:val="hybridMultilevel"/>
    <w:tmpl w:val="0FDEF418"/>
    <w:lvl w:ilvl="0" w:tplc="FFFFFFFF">
      <w:start w:val="1"/>
      <w:numFmt w:val="lowerLetter"/>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EBB52C2"/>
    <w:multiLevelType w:val="hybridMultilevel"/>
    <w:tmpl w:val="377AAD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8608748">
    <w:abstractNumId w:val="8"/>
  </w:num>
  <w:num w:numId="2" w16cid:durableId="1077215531">
    <w:abstractNumId w:val="6"/>
  </w:num>
  <w:num w:numId="3" w16cid:durableId="1605265951">
    <w:abstractNumId w:val="5"/>
  </w:num>
  <w:num w:numId="4" w16cid:durableId="1419985414">
    <w:abstractNumId w:val="4"/>
  </w:num>
  <w:num w:numId="5" w16cid:durableId="43260091">
    <w:abstractNumId w:val="7"/>
  </w:num>
  <w:num w:numId="6" w16cid:durableId="182398851">
    <w:abstractNumId w:val="3"/>
  </w:num>
  <w:num w:numId="7" w16cid:durableId="2086340388">
    <w:abstractNumId w:val="2"/>
  </w:num>
  <w:num w:numId="8" w16cid:durableId="837385602">
    <w:abstractNumId w:val="1"/>
  </w:num>
  <w:num w:numId="9" w16cid:durableId="1684821908">
    <w:abstractNumId w:val="0"/>
  </w:num>
  <w:num w:numId="10" w16cid:durableId="1471090674">
    <w:abstractNumId w:val="19"/>
  </w:num>
  <w:num w:numId="11" w16cid:durableId="794300141">
    <w:abstractNumId w:val="17"/>
  </w:num>
  <w:num w:numId="12" w16cid:durableId="470560826">
    <w:abstractNumId w:val="10"/>
  </w:num>
  <w:num w:numId="13" w16cid:durableId="236864056">
    <w:abstractNumId w:val="15"/>
  </w:num>
  <w:num w:numId="14" w16cid:durableId="1882932359">
    <w:abstractNumId w:val="18"/>
  </w:num>
  <w:num w:numId="15" w16cid:durableId="175656293">
    <w:abstractNumId w:val="9"/>
  </w:num>
  <w:num w:numId="16" w16cid:durableId="1262488733">
    <w:abstractNumId w:val="13"/>
  </w:num>
  <w:num w:numId="17" w16cid:durableId="1230454949">
    <w:abstractNumId w:val="14"/>
  </w:num>
  <w:num w:numId="18" w16cid:durableId="1615746881">
    <w:abstractNumId w:val="16"/>
  </w:num>
  <w:num w:numId="19" w16cid:durableId="1492066532">
    <w:abstractNumId w:val="12"/>
  </w:num>
  <w:num w:numId="20" w16cid:durableId="7360524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07A"/>
    <w:rsid w:val="000168BC"/>
    <w:rsid w:val="00027BD4"/>
    <w:rsid w:val="00034616"/>
    <w:rsid w:val="00041E97"/>
    <w:rsid w:val="00042365"/>
    <w:rsid w:val="000436B0"/>
    <w:rsid w:val="00044657"/>
    <w:rsid w:val="00044BCA"/>
    <w:rsid w:val="00055627"/>
    <w:rsid w:val="0005702A"/>
    <w:rsid w:val="0006063C"/>
    <w:rsid w:val="00060BB1"/>
    <w:rsid w:val="00061BE2"/>
    <w:rsid w:val="00063332"/>
    <w:rsid w:val="0007108B"/>
    <w:rsid w:val="00072A69"/>
    <w:rsid w:val="00072E0C"/>
    <w:rsid w:val="000873BF"/>
    <w:rsid w:val="0009608D"/>
    <w:rsid w:val="00097C77"/>
    <w:rsid w:val="000A1E7A"/>
    <w:rsid w:val="000A3675"/>
    <w:rsid w:val="000A59C4"/>
    <w:rsid w:val="000A621E"/>
    <w:rsid w:val="000A697A"/>
    <w:rsid w:val="000A74BF"/>
    <w:rsid w:val="000A7C59"/>
    <w:rsid w:val="000B2F1B"/>
    <w:rsid w:val="000B5C11"/>
    <w:rsid w:val="000B6B62"/>
    <w:rsid w:val="000B7361"/>
    <w:rsid w:val="000C5643"/>
    <w:rsid w:val="000C6FED"/>
    <w:rsid w:val="000C78CC"/>
    <w:rsid w:val="000D442D"/>
    <w:rsid w:val="000D6ED2"/>
    <w:rsid w:val="000D78DD"/>
    <w:rsid w:val="000E0EB0"/>
    <w:rsid w:val="000E369C"/>
    <w:rsid w:val="000E74AD"/>
    <w:rsid w:val="00100903"/>
    <w:rsid w:val="00105060"/>
    <w:rsid w:val="00105BF2"/>
    <w:rsid w:val="00115B40"/>
    <w:rsid w:val="00115E69"/>
    <w:rsid w:val="001205B9"/>
    <w:rsid w:val="0013107A"/>
    <w:rsid w:val="001320D5"/>
    <w:rsid w:val="001325F2"/>
    <w:rsid w:val="00134BF7"/>
    <w:rsid w:val="00141764"/>
    <w:rsid w:val="001423EF"/>
    <w:rsid w:val="00143000"/>
    <w:rsid w:val="0014720D"/>
    <w:rsid w:val="0015074B"/>
    <w:rsid w:val="001525DA"/>
    <w:rsid w:val="001541DE"/>
    <w:rsid w:val="0015640C"/>
    <w:rsid w:val="0016346F"/>
    <w:rsid w:val="00163D2E"/>
    <w:rsid w:val="0016540F"/>
    <w:rsid w:val="0017585B"/>
    <w:rsid w:val="001852EF"/>
    <w:rsid w:val="00191759"/>
    <w:rsid w:val="00193709"/>
    <w:rsid w:val="00194D8F"/>
    <w:rsid w:val="0019750E"/>
    <w:rsid w:val="001B3394"/>
    <w:rsid w:val="001B73B2"/>
    <w:rsid w:val="001B797C"/>
    <w:rsid w:val="001C4457"/>
    <w:rsid w:val="001C6BFC"/>
    <w:rsid w:val="001C6CF9"/>
    <w:rsid w:val="001D23A6"/>
    <w:rsid w:val="001D498A"/>
    <w:rsid w:val="001E19F6"/>
    <w:rsid w:val="001E3FB0"/>
    <w:rsid w:val="001E6EB2"/>
    <w:rsid w:val="001F4A5E"/>
    <w:rsid w:val="00203519"/>
    <w:rsid w:val="00206400"/>
    <w:rsid w:val="00210540"/>
    <w:rsid w:val="00215BB4"/>
    <w:rsid w:val="00220FC7"/>
    <w:rsid w:val="00221F63"/>
    <w:rsid w:val="002248AD"/>
    <w:rsid w:val="00230A22"/>
    <w:rsid w:val="00233E43"/>
    <w:rsid w:val="0024311F"/>
    <w:rsid w:val="002441C5"/>
    <w:rsid w:val="002568E8"/>
    <w:rsid w:val="00266EEF"/>
    <w:rsid w:val="00267180"/>
    <w:rsid w:val="00281552"/>
    <w:rsid w:val="00281A13"/>
    <w:rsid w:val="00284C9C"/>
    <w:rsid w:val="00285FE4"/>
    <w:rsid w:val="0028711E"/>
    <w:rsid w:val="0029639D"/>
    <w:rsid w:val="00296FF4"/>
    <w:rsid w:val="002B0F47"/>
    <w:rsid w:val="002B284E"/>
    <w:rsid w:val="002B6AF9"/>
    <w:rsid w:val="002C2E36"/>
    <w:rsid w:val="002C394F"/>
    <w:rsid w:val="002D6643"/>
    <w:rsid w:val="002F2313"/>
    <w:rsid w:val="002F580C"/>
    <w:rsid w:val="00301B13"/>
    <w:rsid w:val="00301FB4"/>
    <w:rsid w:val="003055C7"/>
    <w:rsid w:val="00316E28"/>
    <w:rsid w:val="00322106"/>
    <w:rsid w:val="00322DF8"/>
    <w:rsid w:val="00323F31"/>
    <w:rsid w:val="00326F90"/>
    <w:rsid w:val="00334DDA"/>
    <w:rsid w:val="00335CF1"/>
    <w:rsid w:val="00336231"/>
    <w:rsid w:val="00337C91"/>
    <w:rsid w:val="00342AE2"/>
    <w:rsid w:val="003447DF"/>
    <w:rsid w:val="003524BB"/>
    <w:rsid w:val="00360D07"/>
    <w:rsid w:val="00362AB7"/>
    <w:rsid w:val="00365E05"/>
    <w:rsid w:val="0037504C"/>
    <w:rsid w:val="00375269"/>
    <w:rsid w:val="00386DF0"/>
    <w:rsid w:val="003947CA"/>
    <w:rsid w:val="003A0A95"/>
    <w:rsid w:val="003A2A9A"/>
    <w:rsid w:val="003B1AE2"/>
    <w:rsid w:val="003B2459"/>
    <w:rsid w:val="003B4D47"/>
    <w:rsid w:val="003B4F53"/>
    <w:rsid w:val="003B7F4A"/>
    <w:rsid w:val="003C5664"/>
    <w:rsid w:val="003C6317"/>
    <w:rsid w:val="003E478D"/>
    <w:rsid w:val="003F330B"/>
    <w:rsid w:val="003F6A2B"/>
    <w:rsid w:val="004049A9"/>
    <w:rsid w:val="00420134"/>
    <w:rsid w:val="004212DC"/>
    <w:rsid w:val="004228BC"/>
    <w:rsid w:val="00423BCB"/>
    <w:rsid w:val="004306D8"/>
    <w:rsid w:val="0043633B"/>
    <w:rsid w:val="004515DE"/>
    <w:rsid w:val="00460197"/>
    <w:rsid w:val="00463934"/>
    <w:rsid w:val="00463EE2"/>
    <w:rsid w:val="0046486A"/>
    <w:rsid w:val="004731FB"/>
    <w:rsid w:val="004774C7"/>
    <w:rsid w:val="00477F04"/>
    <w:rsid w:val="004907B0"/>
    <w:rsid w:val="004A6E9D"/>
    <w:rsid w:val="004B5432"/>
    <w:rsid w:val="004C0B0F"/>
    <w:rsid w:val="004C1013"/>
    <w:rsid w:val="004C6231"/>
    <w:rsid w:val="004C6CF2"/>
    <w:rsid w:val="004D0C5A"/>
    <w:rsid w:val="004D1390"/>
    <w:rsid w:val="004D13B8"/>
    <w:rsid w:val="004D28E7"/>
    <w:rsid w:val="004F4580"/>
    <w:rsid w:val="00501C82"/>
    <w:rsid w:val="00505089"/>
    <w:rsid w:val="005216D3"/>
    <w:rsid w:val="005259D7"/>
    <w:rsid w:val="00525FF3"/>
    <w:rsid w:val="00530446"/>
    <w:rsid w:val="00530524"/>
    <w:rsid w:val="00530D7D"/>
    <w:rsid w:val="005335F7"/>
    <w:rsid w:val="005342AB"/>
    <w:rsid w:val="0053454E"/>
    <w:rsid w:val="00534FC7"/>
    <w:rsid w:val="00543999"/>
    <w:rsid w:val="00546798"/>
    <w:rsid w:val="00550042"/>
    <w:rsid w:val="00555D37"/>
    <w:rsid w:val="00556C85"/>
    <w:rsid w:val="0056399E"/>
    <w:rsid w:val="00576B96"/>
    <w:rsid w:val="00577F38"/>
    <w:rsid w:val="00586E03"/>
    <w:rsid w:val="005966D6"/>
    <w:rsid w:val="005B2385"/>
    <w:rsid w:val="005C27F0"/>
    <w:rsid w:val="005C3395"/>
    <w:rsid w:val="005C62C0"/>
    <w:rsid w:val="005D4911"/>
    <w:rsid w:val="005D7EB8"/>
    <w:rsid w:val="005E192F"/>
    <w:rsid w:val="005E4FE5"/>
    <w:rsid w:val="005E6192"/>
    <w:rsid w:val="005F02CC"/>
    <w:rsid w:val="005F3F80"/>
    <w:rsid w:val="005F7F02"/>
    <w:rsid w:val="00624DB2"/>
    <w:rsid w:val="006364FD"/>
    <w:rsid w:val="00652F56"/>
    <w:rsid w:val="00654FE8"/>
    <w:rsid w:val="00660384"/>
    <w:rsid w:val="00664D96"/>
    <w:rsid w:val="00672180"/>
    <w:rsid w:val="006820D1"/>
    <w:rsid w:val="00682234"/>
    <w:rsid w:val="00685D24"/>
    <w:rsid w:val="00686A8F"/>
    <w:rsid w:val="006879DC"/>
    <w:rsid w:val="0069036A"/>
    <w:rsid w:val="006933ED"/>
    <w:rsid w:val="0069387C"/>
    <w:rsid w:val="006A4920"/>
    <w:rsid w:val="006B360B"/>
    <w:rsid w:val="006B40BB"/>
    <w:rsid w:val="006B4196"/>
    <w:rsid w:val="006B4D16"/>
    <w:rsid w:val="006B656A"/>
    <w:rsid w:val="006C0ACB"/>
    <w:rsid w:val="006C5BCD"/>
    <w:rsid w:val="006D16A3"/>
    <w:rsid w:val="006D7C56"/>
    <w:rsid w:val="006D7ED2"/>
    <w:rsid w:val="006E0103"/>
    <w:rsid w:val="006E2585"/>
    <w:rsid w:val="006E3366"/>
    <w:rsid w:val="006E5E44"/>
    <w:rsid w:val="006E6520"/>
    <w:rsid w:val="006F1781"/>
    <w:rsid w:val="006F4141"/>
    <w:rsid w:val="0070127B"/>
    <w:rsid w:val="00712BC7"/>
    <w:rsid w:val="00720F79"/>
    <w:rsid w:val="00723D66"/>
    <w:rsid w:val="00725F2C"/>
    <w:rsid w:val="007479C8"/>
    <w:rsid w:val="00753EC9"/>
    <w:rsid w:val="00755EFF"/>
    <w:rsid w:val="00761AE6"/>
    <w:rsid w:val="007639F0"/>
    <w:rsid w:val="00766700"/>
    <w:rsid w:val="00766DA7"/>
    <w:rsid w:val="00774BAE"/>
    <w:rsid w:val="00776342"/>
    <w:rsid w:val="00780AF3"/>
    <w:rsid w:val="00792DAA"/>
    <w:rsid w:val="007A09C8"/>
    <w:rsid w:val="007A34A9"/>
    <w:rsid w:val="007A48FD"/>
    <w:rsid w:val="007B41B1"/>
    <w:rsid w:val="007C0942"/>
    <w:rsid w:val="007C7ADD"/>
    <w:rsid w:val="007D3ADE"/>
    <w:rsid w:val="007E3956"/>
    <w:rsid w:val="007E5343"/>
    <w:rsid w:val="007F3028"/>
    <w:rsid w:val="007F427F"/>
    <w:rsid w:val="007F65E3"/>
    <w:rsid w:val="008011BC"/>
    <w:rsid w:val="00801284"/>
    <w:rsid w:val="00803A40"/>
    <w:rsid w:val="008072F5"/>
    <w:rsid w:val="00807E30"/>
    <w:rsid w:val="008155BA"/>
    <w:rsid w:val="008158A6"/>
    <w:rsid w:val="0082000E"/>
    <w:rsid w:val="00820510"/>
    <w:rsid w:val="00821731"/>
    <w:rsid w:val="008427AE"/>
    <w:rsid w:val="00844B75"/>
    <w:rsid w:val="00845928"/>
    <w:rsid w:val="00851700"/>
    <w:rsid w:val="00851CD2"/>
    <w:rsid w:val="00857359"/>
    <w:rsid w:val="00857D9D"/>
    <w:rsid w:val="00861496"/>
    <w:rsid w:val="008652FA"/>
    <w:rsid w:val="0086579C"/>
    <w:rsid w:val="0086718C"/>
    <w:rsid w:val="0087217D"/>
    <w:rsid w:val="008748F0"/>
    <w:rsid w:val="0087605F"/>
    <w:rsid w:val="00877F5F"/>
    <w:rsid w:val="00881877"/>
    <w:rsid w:val="00883138"/>
    <w:rsid w:val="00885679"/>
    <w:rsid w:val="0088590F"/>
    <w:rsid w:val="00886985"/>
    <w:rsid w:val="00887120"/>
    <w:rsid w:val="008A525B"/>
    <w:rsid w:val="008A54D1"/>
    <w:rsid w:val="008B228A"/>
    <w:rsid w:val="008C04F3"/>
    <w:rsid w:val="008C4F4D"/>
    <w:rsid w:val="008C5A22"/>
    <w:rsid w:val="008D1626"/>
    <w:rsid w:val="008D402F"/>
    <w:rsid w:val="008D42AF"/>
    <w:rsid w:val="008D5295"/>
    <w:rsid w:val="008E0131"/>
    <w:rsid w:val="008E06F2"/>
    <w:rsid w:val="008E2A68"/>
    <w:rsid w:val="008E6613"/>
    <w:rsid w:val="008E68CF"/>
    <w:rsid w:val="008F1927"/>
    <w:rsid w:val="008F4F92"/>
    <w:rsid w:val="008F5C57"/>
    <w:rsid w:val="00903B7A"/>
    <w:rsid w:val="00904FED"/>
    <w:rsid w:val="009110FC"/>
    <w:rsid w:val="00920E06"/>
    <w:rsid w:val="00921A9F"/>
    <w:rsid w:val="00921BCD"/>
    <w:rsid w:val="00922916"/>
    <w:rsid w:val="00924664"/>
    <w:rsid w:val="009259C6"/>
    <w:rsid w:val="00925E84"/>
    <w:rsid w:val="00934207"/>
    <w:rsid w:val="00935A19"/>
    <w:rsid w:val="00935E1F"/>
    <w:rsid w:val="00937CE8"/>
    <w:rsid w:val="00942E35"/>
    <w:rsid w:val="009439C3"/>
    <w:rsid w:val="009444B7"/>
    <w:rsid w:val="00950B70"/>
    <w:rsid w:val="00954E00"/>
    <w:rsid w:val="0095765E"/>
    <w:rsid w:val="00963A3B"/>
    <w:rsid w:val="00966D87"/>
    <w:rsid w:val="00972AA3"/>
    <w:rsid w:val="009751A9"/>
    <w:rsid w:val="0097629A"/>
    <w:rsid w:val="0097712A"/>
    <w:rsid w:val="009842CB"/>
    <w:rsid w:val="0099005C"/>
    <w:rsid w:val="00990718"/>
    <w:rsid w:val="00990A52"/>
    <w:rsid w:val="0099330C"/>
    <w:rsid w:val="00994505"/>
    <w:rsid w:val="00997378"/>
    <w:rsid w:val="009A6D65"/>
    <w:rsid w:val="009B1344"/>
    <w:rsid w:val="009B6156"/>
    <w:rsid w:val="009B6B42"/>
    <w:rsid w:val="009C619E"/>
    <w:rsid w:val="009D22A0"/>
    <w:rsid w:val="009D58ED"/>
    <w:rsid w:val="009E05AE"/>
    <w:rsid w:val="009E0DC4"/>
    <w:rsid w:val="009E357E"/>
    <w:rsid w:val="009E4019"/>
    <w:rsid w:val="009E4C73"/>
    <w:rsid w:val="009E6381"/>
    <w:rsid w:val="009F2C8A"/>
    <w:rsid w:val="009F70EC"/>
    <w:rsid w:val="00A0401E"/>
    <w:rsid w:val="00A04458"/>
    <w:rsid w:val="00A066DE"/>
    <w:rsid w:val="00A075B7"/>
    <w:rsid w:val="00A07E61"/>
    <w:rsid w:val="00A1214B"/>
    <w:rsid w:val="00A133F1"/>
    <w:rsid w:val="00A13C34"/>
    <w:rsid w:val="00A1652C"/>
    <w:rsid w:val="00A21AF8"/>
    <w:rsid w:val="00A23B13"/>
    <w:rsid w:val="00A25540"/>
    <w:rsid w:val="00A26A70"/>
    <w:rsid w:val="00A40B8F"/>
    <w:rsid w:val="00A42E98"/>
    <w:rsid w:val="00A44530"/>
    <w:rsid w:val="00A44BAB"/>
    <w:rsid w:val="00A60C11"/>
    <w:rsid w:val="00A65B04"/>
    <w:rsid w:val="00A76D12"/>
    <w:rsid w:val="00A7766C"/>
    <w:rsid w:val="00A77CD1"/>
    <w:rsid w:val="00A85CF6"/>
    <w:rsid w:val="00A87D3F"/>
    <w:rsid w:val="00A903D4"/>
    <w:rsid w:val="00A961E0"/>
    <w:rsid w:val="00AA1D8D"/>
    <w:rsid w:val="00AA3804"/>
    <w:rsid w:val="00AA40D9"/>
    <w:rsid w:val="00AA7710"/>
    <w:rsid w:val="00AB1419"/>
    <w:rsid w:val="00AB1A52"/>
    <w:rsid w:val="00AB4BF8"/>
    <w:rsid w:val="00AB6738"/>
    <w:rsid w:val="00AB6C10"/>
    <w:rsid w:val="00AC6CA1"/>
    <w:rsid w:val="00AD47C4"/>
    <w:rsid w:val="00AD49B3"/>
    <w:rsid w:val="00AD6567"/>
    <w:rsid w:val="00AE0C31"/>
    <w:rsid w:val="00AF158C"/>
    <w:rsid w:val="00AF1900"/>
    <w:rsid w:val="00AF4224"/>
    <w:rsid w:val="00AF6C30"/>
    <w:rsid w:val="00B05704"/>
    <w:rsid w:val="00B077C7"/>
    <w:rsid w:val="00B12287"/>
    <w:rsid w:val="00B13A9F"/>
    <w:rsid w:val="00B1424B"/>
    <w:rsid w:val="00B14388"/>
    <w:rsid w:val="00B17F70"/>
    <w:rsid w:val="00B22C3C"/>
    <w:rsid w:val="00B276AE"/>
    <w:rsid w:val="00B37F77"/>
    <w:rsid w:val="00B41BDD"/>
    <w:rsid w:val="00B47730"/>
    <w:rsid w:val="00B52738"/>
    <w:rsid w:val="00B54980"/>
    <w:rsid w:val="00B63674"/>
    <w:rsid w:val="00B64998"/>
    <w:rsid w:val="00B64C99"/>
    <w:rsid w:val="00B75EE9"/>
    <w:rsid w:val="00B803D4"/>
    <w:rsid w:val="00B82E4F"/>
    <w:rsid w:val="00B917C1"/>
    <w:rsid w:val="00B92A9F"/>
    <w:rsid w:val="00B97AA3"/>
    <w:rsid w:val="00BA22F7"/>
    <w:rsid w:val="00BA75EA"/>
    <w:rsid w:val="00BB57CE"/>
    <w:rsid w:val="00BC0D9C"/>
    <w:rsid w:val="00BC5C5B"/>
    <w:rsid w:val="00BC7466"/>
    <w:rsid w:val="00BD17F5"/>
    <w:rsid w:val="00BD1EC9"/>
    <w:rsid w:val="00BD507B"/>
    <w:rsid w:val="00BE2A40"/>
    <w:rsid w:val="00BE5AD6"/>
    <w:rsid w:val="00BF6642"/>
    <w:rsid w:val="00BF7F2D"/>
    <w:rsid w:val="00C00917"/>
    <w:rsid w:val="00C01312"/>
    <w:rsid w:val="00C0583B"/>
    <w:rsid w:val="00C06925"/>
    <w:rsid w:val="00C1157A"/>
    <w:rsid w:val="00C115C9"/>
    <w:rsid w:val="00C13414"/>
    <w:rsid w:val="00C17340"/>
    <w:rsid w:val="00C212F9"/>
    <w:rsid w:val="00C2165B"/>
    <w:rsid w:val="00C2213F"/>
    <w:rsid w:val="00C23650"/>
    <w:rsid w:val="00C24CE2"/>
    <w:rsid w:val="00C323B2"/>
    <w:rsid w:val="00C4171E"/>
    <w:rsid w:val="00C4386B"/>
    <w:rsid w:val="00C4500F"/>
    <w:rsid w:val="00C4589A"/>
    <w:rsid w:val="00C50090"/>
    <w:rsid w:val="00C523E0"/>
    <w:rsid w:val="00C54F9F"/>
    <w:rsid w:val="00C615A8"/>
    <w:rsid w:val="00C61D02"/>
    <w:rsid w:val="00C6671B"/>
    <w:rsid w:val="00C93DBD"/>
    <w:rsid w:val="00C94EFC"/>
    <w:rsid w:val="00CA07AF"/>
    <w:rsid w:val="00CA1CEF"/>
    <w:rsid w:val="00CA5A6C"/>
    <w:rsid w:val="00CA6B1C"/>
    <w:rsid w:val="00CB0664"/>
    <w:rsid w:val="00CB0A62"/>
    <w:rsid w:val="00CE431D"/>
    <w:rsid w:val="00CE6A68"/>
    <w:rsid w:val="00CE7EFF"/>
    <w:rsid w:val="00CF48A9"/>
    <w:rsid w:val="00D04B4D"/>
    <w:rsid w:val="00D10703"/>
    <w:rsid w:val="00D13D5E"/>
    <w:rsid w:val="00D17B94"/>
    <w:rsid w:val="00D25808"/>
    <w:rsid w:val="00D26A38"/>
    <w:rsid w:val="00D26D29"/>
    <w:rsid w:val="00D279C7"/>
    <w:rsid w:val="00D32EA4"/>
    <w:rsid w:val="00D35B70"/>
    <w:rsid w:val="00D40D2B"/>
    <w:rsid w:val="00D41074"/>
    <w:rsid w:val="00D47224"/>
    <w:rsid w:val="00D47FA7"/>
    <w:rsid w:val="00D6065E"/>
    <w:rsid w:val="00D6464B"/>
    <w:rsid w:val="00D70E10"/>
    <w:rsid w:val="00D754B2"/>
    <w:rsid w:val="00D7785E"/>
    <w:rsid w:val="00D81521"/>
    <w:rsid w:val="00D91540"/>
    <w:rsid w:val="00D9329F"/>
    <w:rsid w:val="00D97ABE"/>
    <w:rsid w:val="00DA057D"/>
    <w:rsid w:val="00DA2AD2"/>
    <w:rsid w:val="00DB174D"/>
    <w:rsid w:val="00DB59FE"/>
    <w:rsid w:val="00DB7FCC"/>
    <w:rsid w:val="00DC4DC9"/>
    <w:rsid w:val="00DC6599"/>
    <w:rsid w:val="00DC7F1F"/>
    <w:rsid w:val="00DD0D15"/>
    <w:rsid w:val="00DD1725"/>
    <w:rsid w:val="00DD23BC"/>
    <w:rsid w:val="00DD624B"/>
    <w:rsid w:val="00DD7BB9"/>
    <w:rsid w:val="00DE35F3"/>
    <w:rsid w:val="00DE5BCD"/>
    <w:rsid w:val="00DF35AF"/>
    <w:rsid w:val="00DF6E9B"/>
    <w:rsid w:val="00E05F59"/>
    <w:rsid w:val="00E06A12"/>
    <w:rsid w:val="00E116DB"/>
    <w:rsid w:val="00E1654E"/>
    <w:rsid w:val="00E16E43"/>
    <w:rsid w:val="00E228A4"/>
    <w:rsid w:val="00E26138"/>
    <w:rsid w:val="00E36835"/>
    <w:rsid w:val="00E420EA"/>
    <w:rsid w:val="00E44194"/>
    <w:rsid w:val="00E4475F"/>
    <w:rsid w:val="00E53052"/>
    <w:rsid w:val="00E53447"/>
    <w:rsid w:val="00E55654"/>
    <w:rsid w:val="00E57443"/>
    <w:rsid w:val="00E578CD"/>
    <w:rsid w:val="00E6093C"/>
    <w:rsid w:val="00E61F3B"/>
    <w:rsid w:val="00E67122"/>
    <w:rsid w:val="00E746BC"/>
    <w:rsid w:val="00E74F48"/>
    <w:rsid w:val="00E92361"/>
    <w:rsid w:val="00E93E43"/>
    <w:rsid w:val="00E94ADA"/>
    <w:rsid w:val="00E95C1E"/>
    <w:rsid w:val="00E97649"/>
    <w:rsid w:val="00EA27BC"/>
    <w:rsid w:val="00EA3C0D"/>
    <w:rsid w:val="00EB0C63"/>
    <w:rsid w:val="00EB2F5B"/>
    <w:rsid w:val="00EB5A85"/>
    <w:rsid w:val="00EC4DEF"/>
    <w:rsid w:val="00ED4A8A"/>
    <w:rsid w:val="00ED707F"/>
    <w:rsid w:val="00EE295C"/>
    <w:rsid w:val="00EE5FC9"/>
    <w:rsid w:val="00EF01B3"/>
    <w:rsid w:val="00EF1D4B"/>
    <w:rsid w:val="00EF20F2"/>
    <w:rsid w:val="00EF3F9B"/>
    <w:rsid w:val="00EF61C1"/>
    <w:rsid w:val="00F0368E"/>
    <w:rsid w:val="00F0493D"/>
    <w:rsid w:val="00F13C6E"/>
    <w:rsid w:val="00F232F1"/>
    <w:rsid w:val="00F277F6"/>
    <w:rsid w:val="00F32950"/>
    <w:rsid w:val="00F36CBD"/>
    <w:rsid w:val="00F41DB8"/>
    <w:rsid w:val="00F50465"/>
    <w:rsid w:val="00F52568"/>
    <w:rsid w:val="00F57B53"/>
    <w:rsid w:val="00F72DD1"/>
    <w:rsid w:val="00F77BDF"/>
    <w:rsid w:val="00F8247F"/>
    <w:rsid w:val="00F87CF4"/>
    <w:rsid w:val="00F93BA2"/>
    <w:rsid w:val="00FA19FC"/>
    <w:rsid w:val="00FA1CD9"/>
    <w:rsid w:val="00FA2204"/>
    <w:rsid w:val="00FB0EA7"/>
    <w:rsid w:val="00FC07C0"/>
    <w:rsid w:val="00FC38BA"/>
    <w:rsid w:val="00FC4561"/>
    <w:rsid w:val="00FC558F"/>
    <w:rsid w:val="00FC693F"/>
    <w:rsid w:val="00FC6AD8"/>
    <w:rsid w:val="00FD5163"/>
    <w:rsid w:val="00FF20AA"/>
    <w:rsid w:val="028E4409"/>
    <w:rsid w:val="02D998F6"/>
    <w:rsid w:val="04726C8B"/>
    <w:rsid w:val="050D00D0"/>
    <w:rsid w:val="07F29E3A"/>
    <w:rsid w:val="0B942BB3"/>
    <w:rsid w:val="0BCBAB2B"/>
    <w:rsid w:val="0D193E66"/>
    <w:rsid w:val="0D1AAD52"/>
    <w:rsid w:val="0D923F6C"/>
    <w:rsid w:val="0EB102D4"/>
    <w:rsid w:val="10F84DE6"/>
    <w:rsid w:val="12255EBC"/>
    <w:rsid w:val="128E2A80"/>
    <w:rsid w:val="15B6A10A"/>
    <w:rsid w:val="1DFC4F99"/>
    <w:rsid w:val="24F97658"/>
    <w:rsid w:val="263C3E30"/>
    <w:rsid w:val="26621298"/>
    <w:rsid w:val="281E244C"/>
    <w:rsid w:val="2A1AAC52"/>
    <w:rsid w:val="2AC3B8EE"/>
    <w:rsid w:val="2B6F59DD"/>
    <w:rsid w:val="2CEC5C12"/>
    <w:rsid w:val="2EB73703"/>
    <w:rsid w:val="3154597C"/>
    <w:rsid w:val="328AC16B"/>
    <w:rsid w:val="3514680F"/>
    <w:rsid w:val="352F6674"/>
    <w:rsid w:val="35EF4C96"/>
    <w:rsid w:val="378BCF01"/>
    <w:rsid w:val="3859620E"/>
    <w:rsid w:val="3B51B67C"/>
    <w:rsid w:val="41084C7F"/>
    <w:rsid w:val="42CC17E9"/>
    <w:rsid w:val="46069FB3"/>
    <w:rsid w:val="47367B99"/>
    <w:rsid w:val="47509F87"/>
    <w:rsid w:val="48B6CCC7"/>
    <w:rsid w:val="49979E61"/>
    <w:rsid w:val="4BB4716A"/>
    <w:rsid w:val="5A8B533F"/>
    <w:rsid w:val="5A99F3A5"/>
    <w:rsid w:val="5CACF27C"/>
    <w:rsid w:val="5CF82632"/>
    <w:rsid w:val="5E0B03CC"/>
    <w:rsid w:val="5F863550"/>
    <w:rsid w:val="604B6357"/>
    <w:rsid w:val="638DAB5F"/>
    <w:rsid w:val="650FD51E"/>
    <w:rsid w:val="6690C245"/>
    <w:rsid w:val="6ADA0FCC"/>
    <w:rsid w:val="6B0F9FD9"/>
    <w:rsid w:val="6B5FA96F"/>
    <w:rsid w:val="6ECAFB4E"/>
    <w:rsid w:val="6F3170BE"/>
    <w:rsid w:val="707EAE0F"/>
    <w:rsid w:val="7370872C"/>
    <w:rsid w:val="7390FA1E"/>
    <w:rsid w:val="74400463"/>
    <w:rsid w:val="748A21EC"/>
    <w:rsid w:val="7762AEF5"/>
    <w:rsid w:val="7800374A"/>
    <w:rsid w:val="7974AC37"/>
    <w:rsid w:val="7987B723"/>
    <w:rsid w:val="7C930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57BE44"/>
  <w14:defaultImageDpi w14:val="300"/>
  <w15:docId w15:val="{31FE74AA-FD99-4A5A-8798-7BEB98E1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pPr>
      <w:spacing w:after="120"/>
    </w:pPr>
    <w:rPr>
      <w:rFonts w:ascii="Aptos" w:hAnsi="Aptos"/>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WRPTitle" w:customStyle="1">
    <w:name w:val="WRP Title"/>
    <w:basedOn w:val="Title"/>
    <w:pPr>
      <w:spacing w:before="200" w:after="100"/>
    </w:pPr>
    <w:rPr>
      <w:rFonts w:ascii="Aptos" w:hAnsi="Aptos"/>
      <w:b/>
      <w:color w:val="1C4A7B"/>
      <w:sz w:val="40"/>
    </w:rPr>
  </w:style>
  <w:style w:type="paragraph" w:styleId="WRPSubtitle" w:customStyle="1">
    <w:name w:val="WRP Subtitle"/>
    <w:basedOn w:val="Subtitle"/>
    <w:pPr>
      <w:spacing w:before="200" w:after="100"/>
    </w:pPr>
    <w:rPr>
      <w:rFonts w:ascii="Aptos" w:hAnsi="Aptos"/>
      <w:color w:val="5A6878"/>
      <w:sz w:val="22"/>
    </w:rPr>
  </w:style>
  <w:style w:type="paragraph" w:styleId="WRPPart" w:customStyle="1">
    <w:name w:val="WRP Part"/>
    <w:basedOn w:val="Heading1"/>
    <w:pPr>
      <w:spacing w:before="200" w:after="100"/>
    </w:pPr>
    <w:rPr>
      <w:rFonts w:ascii="Aptos" w:hAnsi="Aptos"/>
      <w:color w:val="1C4A7B"/>
      <w:sz w:val="25"/>
    </w:rPr>
  </w:style>
  <w:style w:type="paragraph" w:styleId="WRPArticle" w:customStyle="1">
    <w:name w:val="WRP Article"/>
    <w:basedOn w:val="Heading2"/>
    <w:pPr>
      <w:spacing w:after="100"/>
    </w:pPr>
    <w:rPr>
      <w:rFonts w:ascii="Aptos" w:hAnsi="Aptos"/>
      <w:color w:val="1C4A7B"/>
      <w:sz w:val="23"/>
    </w:rPr>
  </w:style>
  <w:style w:type="character" w:styleId="CommentReference">
    <w:name w:val="annotation reference"/>
    <w:basedOn w:val="DefaultParagraphFont"/>
    <w:uiPriority w:val="99"/>
    <w:semiHidden/>
    <w:unhideWhenUsed/>
    <w:rsid w:val="006933ED"/>
    <w:rPr>
      <w:sz w:val="16"/>
      <w:szCs w:val="16"/>
    </w:rPr>
  </w:style>
  <w:style w:type="paragraph" w:styleId="CommentText">
    <w:name w:val="annotation text"/>
    <w:basedOn w:val="Normal"/>
    <w:link w:val="CommentTextChar"/>
    <w:uiPriority w:val="99"/>
    <w:unhideWhenUsed/>
    <w:rsid w:val="006933ED"/>
    <w:pPr>
      <w:spacing w:line="240" w:lineRule="auto"/>
    </w:pPr>
    <w:rPr>
      <w:sz w:val="20"/>
      <w:szCs w:val="20"/>
    </w:rPr>
  </w:style>
  <w:style w:type="character" w:styleId="CommentTextChar" w:customStyle="1">
    <w:name w:val="Comment Text Char"/>
    <w:basedOn w:val="DefaultParagraphFont"/>
    <w:link w:val="CommentText"/>
    <w:uiPriority w:val="99"/>
    <w:rsid w:val="006933ED"/>
    <w:rPr>
      <w:rFonts w:ascii="Aptos" w:hAnsi="Aptos"/>
      <w:sz w:val="20"/>
      <w:szCs w:val="20"/>
    </w:rPr>
  </w:style>
  <w:style w:type="paragraph" w:styleId="CommentSubject">
    <w:name w:val="annotation subject"/>
    <w:basedOn w:val="CommentText"/>
    <w:next w:val="CommentText"/>
    <w:link w:val="CommentSubjectChar"/>
    <w:uiPriority w:val="99"/>
    <w:semiHidden/>
    <w:unhideWhenUsed/>
    <w:rsid w:val="006933ED"/>
    <w:rPr>
      <w:b/>
      <w:bCs/>
    </w:rPr>
  </w:style>
  <w:style w:type="character" w:styleId="CommentSubjectChar" w:customStyle="1">
    <w:name w:val="Comment Subject Char"/>
    <w:basedOn w:val="CommentTextChar"/>
    <w:link w:val="CommentSubject"/>
    <w:uiPriority w:val="99"/>
    <w:semiHidden/>
    <w:rsid w:val="006933ED"/>
    <w:rPr>
      <w:rFonts w:ascii="Aptos" w:hAnsi="Aptos"/>
      <w:b/>
      <w:bCs/>
      <w:sz w:val="20"/>
      <w:szCs w:val="20"/>
    </w:rPr>
  </w:style>
  <w:style w:type="table" w:styleId="ListTable6ColourfulAccent1">
    <w:name w:val="List Table 6 Colorful Accent 1"/>
    <w:basedOn w:val="TableNormal"/>
    <w:uiPriority w:val="51"/>
    <w:rsid w:val="00851700"/>
    <w:pPr>
      <w:spacing w:after="0" w:line="240" w:lineRule="auto"/>
    </w:pPr>
    <w:rPr>
      <w:color w:val="365F91" w:themeColor="accent1" w:themeShade="BF"/>
    </w:rPr>
    <w:tblPr>
      <w:tblStyleRowBandSize w:val="1"/>
      <w:tblStyleColBandSize w:val="1"/>
      <w:tblBorders>
        <w:top w:val="single" w:color="4F81BD" w:themeColor="accent1" w:sz="4" w:space="0"/>
        <w:bottom w:val="single" w:color="4F81BD" w:themeColor="accent1" w:sz="4" w:space="0"/>
      </w:tblBorders>
    </w:tblPr>
    <w:tblStylePr w:type="firstRow">
      <w:rPr>
        <w:b/>
        <w:bCs/>
      </w:rPr>
      <w:tblPr/>
      <w:tcPr>
        <w:tcBorders>
          <w:bottom w:val="single" w:color="4F81BD" w:themeColor="accent1" w:sz="4" w:space="0"/>
        </w:tcBorders>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DB174D"/>
    <w:pPr>
      <w:spacing w:after="0" w:line="240" w:lineRule="auto"/>
    </w:pPr>
    <w:rPr>
      <w:rFonts w:ascii="Aptos" w:hAnsi="Apto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00bc44-2015-4da8-875d-07b815e122b5" xsi:nil="true"/>
    <lcf76f155ced4ddcb4097134ff3c332f xmlns="5c9379e0-c8fe-4c72-bd8d-06eab88b1c4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B93D4149CF1F4A82E5E3E1C517E5E7" ma:contentTypeVersion="13" ma:contentTypeDescription="Create a new document." ma:contentTypeScope="" ma:versionID="904c9dd9c76d3fef821c557f06e0fbe4">
  <xsd:schema xmlns:xsd="http://www.w3.org/2001/XMLSchema" xmlns:xs="http://www.w3.org/2001/XMLSchema" xmlns:p="http://schemas.microsoft.com/office/2006/metadata/properties" xmlns:ns2="5c9379e0-c8fe-4c72-bd8d-06eab88b1c4d" xmlns:ns3="4600bc44-2015-4da8-875d-07b815e122b5" targetNamespace="http://schemas.microsoft.com/office/2006/metadata/properties" ma:root="true" ma:fieldsID="aafbc98863ba80b3baa83296633182b2" ns2:_="" ns3:_="">
    <xsd:import namespace="5c9379e0-c8fe-4c72-bd8d-06eab88b1c4d"/>
    <xsd:import namespace="4600bc44-2015-4da8-875d-07b815e12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379e0-c8fe-4c72-bd8d-06eab88b1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26c1b7-6265-4b08-9951-3c22af25e6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00bc44-2015-4da8-875d-07b815e122b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10c851-c325-4e55-9a04-b815e3608e32}" ma:internalName="TaxCatchAll" ma:showField="CatchAllData" ma:web="4600bc44-2015-4da8-875d-07b815e12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66CB7-D7BD-40E0-8404-795164A0A8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98A0E1-818E-47DD-BE83-42313D0B9085}">
  <ds:schemaRefs>
    <ds:schemaRef ds:uri="http://schemas.microsoft.com/sharepoint/v3/contenttype/forms"/>
  </ds:schemaRefs>
</ds:datastoreItem>
</file>

<file path=customXml/itemProps3.xml><?xml version="1.0" encoding="utf-8"?>
<ds:datastoreItem xmlns:ds="http://schemas.openxmlformats.org/officeDocument/2006/customXml" ds:itemID="{64BC7F39-6949-4EC5-8E2F-3802F8AA5F5D}"/>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'Ofa Fa'anunu</lastModifiedBy>
  <revision>7</revision>
  <lastPrinted>2026-04-09T09:45:00.0000000Z</lastPrinted>
  <dcterms:created xsi:type="dcterms:W3CDTF">2026-05-07T07:25:00.0000000Z</dcterms:created>
  <dcterms:modified xsi:type="dcterms:W3CDTF">2026-05-19T05:53:38.8821766Z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0x01010061B93D4149CF1F4A82E5E3E1C517E5E7</vt:lpwstr>
  </property>
  <property fmtid="{D5CDD505-2E9C-101B-9397-08002B2CF9AE}" pid="3" name="MediaServiceImageTags">
    <vt:lpwstr/>
  </property>
</Properties>
</file>