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020" w:rsidP="00FA3020" w:rsidRDefault="00FA3020" w14:paraId="4AB0ABE6" w14:textId="3F4F05C6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327A4A"/>
          <w:kern w:val="2"/>
          <w:sz w:val="60"/>
          <w:szCs w:val="60"/>
          <w:bdr w:val="none" w:color="auto" w:sz="0" w:space="0" w:frame="1"/>
          <w:shd w:val="clear" w:color="auto" w:fill="FFFFFF"/>
          <w:lang w:val="en-AU"/>
          <w14:ligatures w14:val="standardContextual"/>
        </w:rPr>
      </w:pPr>
    </w:p>
    <w:p w:rsidR="00FA3020" w:rsidP="00FA3020" w:rsidRDefault="00FA3020" w14:paraId="2AEB517C" w14:textId="179C35D6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327A4A"/>
          <w:kern w:val="2"/>
          <w:sz w:val="60"/>
          <w:szCs w:val="60"/>
          <w:bdr w:val="none" w:color="auto" w:sz="0" w:space="0" w:frame="1"/>
          <w:shd w:val="clear" w:color="auto" w:fill="FFFFFF"/>
          <w:lang w:val="en-AU"/>
          <w14:ligatures w14:val="standardContextual"/>
        </w:rPr>
      </w:pPr>
    </w:p>
    <w:p w:rsidR="00FA3020" w:rsidP="00FA3020" w:rsidRDefault="00FA3020" w14:paraId="787E132C" w14:textId="445BDBB4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327A4A"/>
          <w:kern w:val="2"/>
          <w:sz w:val="60"/>
          <w:szCs w:val="60"/>
          <w:bdr w:val="none" w:color="auto" w:sz="0" w:space="0" w:frame="1"/>
          <w:shd w:val="clear" w:color="auto" w:fill="FFFFFF"/>
          <w:lang w:val="en-AU"/>
          <w14:ligatures w14:val="standardContextual"/>
        </w:rPr>
      </w:pPr>
    </w:p>
    <w:p w:rsidRPr="00FA3020" w:rsidR="00FA3020" w:rsidP="00FA3020" w:rsidRDefault="00FA3020" w14:paraId="5009938E" w14:textId="332114CF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327A4A"/>
          <w:kern w:val="2"/>
          <w:sz w:val="60"/>
          <w:szCs w:val="6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 w:rsidRPr="00FA3020">
        <w:rPr>
          <w:rFonts w:eastAsia="Calibri" w:cs="Segoe UI"/>
          <w:b/>
          <w:bCs/>
          <w:color w:val="327A4A"/>
          <w:kern w:val="2"/>
          <w:sz w:val="60"/>
          <w:szCs w:val="60"/>
          <w:bdr w:val="none" w:color="auto" w:sz="0" w:space="0" w:frame="1"/>
          <w:shd w:val="clear" w:color="auto" w:fill="FFFFFF"/>
          <w:lang w:val="en-AU"/>
          <w14:ligatures w14:val="standardContextual"/>
        </w:rPr>
        <w:t>Weather Ready Pacific</w:t>
      </w:r>
    </w:p>
    <w:p w:rsidR="00FA3020" w:rsidP="00FA3020" w:rsidRDefault="00FA3020" w14:paraId="7B23B88B" w14:textId="77777777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 w:rsidRPr="00FA3020"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>Operations M</w:t>
      </w:r>
      <w:r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>anual</w:t>
      </w:r>
    </w:p>
    <w:p w:rsidR="00FA3020" w:rsidP="00FA3020" w:rsidRDefault="00FA3020" w14:paraId="6C274FC9" w14:textId="5744B22F">
      <w:pPr>
        <w:spacing w:after="160" w:line="259" w:lineRule="auto"/>
        <w:ind w:left="118" w:hanging="10"/>
        <w:jc w:val="center"/>
        <w:rPr>
          <w:rFonts w:eastAsia="Calibri" w:cs="Segoe UI"/>
          <w:b w:val="1"/>
          <w:bCs w:val="1"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 w:rsidR="00FA3020">
        <w:rPr>
          <w:rFonts w:eastAsia="Calibri" w:cs="Segoe UI"/>
          <w:b w:val="1"/>
          <w:bCs w:val="1"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 xml:space="preserve">Annex </w:t>
      </w:r>
      <w:r w:rsidR="780195D7">
        <w:rPr>
          <w:rFonts w:eastAsia="Calibri" w:cs="Segoe UI"/>
          <w:b w:val="1"/>
          <w:bCs w:val="1"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>3</w:t>
      </w:r>
    </w:p>
    <w:p w:rsidR="00FA3020" w:rsidP="00FA3020" w:rsidRDefault="00FA3020" w14:paraId="2DF92FAB" w14:textId="088BEFBE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>WRP Reporting Framework</w:t>
      </w:r>
    </w:p>
    <w:p w:rsidRPr="00B71664" w:rsidR="00B71664" w:rsidP="00FA3020" w:rsidRDefault="00B71664" w14:paraId="1644B1B1" w14:textId="7B14CBA9">
      <w:pPr>
        <w:spacing w:after="160" w:line="259" w:lineRule="auto"/>
        <w:ind w:left="118" w:hanging="10"/>
        <w:jc w:val="center"/>
        <w:rPr>
          <w:rFonts w:eastAsia="Calibri" w:cs="Segoe UI"/>
          <w:b w:val="1"/>
          <w:bCs w:val="1"/>
          <w:color w:val="EE0000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 w:rsidR="6701DF81">
        <w:rPr>
          <w:rFonts w:eastAsia="Calibri" w:cs="Segoe UI"/>
          <w:b w:val="1"/>
          <w:bCs w:val="1"/>
          <w:color w:val="EE0000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 xml:space="preserve">Version </w:t>
      </w:r>
      <w:r w:rsidR="00B71664">
        <w:rPr>
          <w:rFonts w:eastAsia="Calibri" w:cs="Segoe UI"/>
          <w:b w:val="1"/>
          <w:bCs w:val="1"/>
          <w:color w:val="EE0000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 xml:space="preserve">1 </w:t>
      </w:r>
      <w:r w:rsidR="3AA72062">
        <w:rPr>
          <w:rFonts w:eastAsia="Calibri" w:cs="Segoe UI"/>
          <w:b w:val="1"/>
          <w:bCs w:val="1"/>
          <w:color w:val="EE0000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t>For SC</w:t>
      </w:r>
    </w:p>
    <w:p w:rsidR="00FA3020" w:rsidRDefault="00FA3020" w14:paraId="290896F1" w14:textId="693A7216">
      <w:pPr>
        <w:spacing w:after="200" w:line="276" w:lineRule="auto"/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  <w:r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  <w:br w:type="page"/>
      </w:r>
    </w:p>
    <w:p w:rsidRPr="00FA3020" w:rsidR="00FA3020" w:rsidP="00FA3020" w:rsidRDefault="00FA3020" w14:paraId="35201C23" w14:textId="77777777">
      <w:pPr>
        <w:spacing w:after="160" w:line="259" w:lineRule="auto"/>
        <w:ind w:left="118" w:hanging="10"/>
        <w:jc w:val="center"/>
        <w:rPr>
          <w:rFonts w:eastAsia="Calibri" w:cs="Segoe UI"/>
          <w:b/>
          <w:bCs/>
          <w:color w:val="424242"/>
          <w:kern w:val="2"/>
          <w:sz w:val="40"/>
          <w:szCs w:val="40"/>
          <w:bdr w:val="none" w:color="auto" w:sz="0" w:space="0" w:frame="1"/>
          <w:shd w:val="clear" w:color="auto" w:fill="FFFFFF"/>
          <w:lang w:val="en-AU"/>
          <w14:ligatures w14:val="standardContextual"/>
        </w:rPr>
      </w:pPr>
    </w:p>
    <w:p w:rsidR="00584D3A" w:rsidP="1F4FFDA3" w:rsidRDefault="00FA3020" w14:paraId="0B520769" w14:textId="16EF6B30">
      <w:pPr>
        <w:spacing w:after="120" w:line="264" w:lineRule="auto"/>
        <w:jc w:val="center"/>
        <w:rPr>
          <w:rFonts w:eastAsia="Aptos" w:cs="Times New Roman"/>
          <w:i w:val="1"/>
          <w:iCs w:val="1"/>
          <w:color w:val="5A5A5A"/>
          <w:sz w:val="22"/>
          <w:szCs w:val="22"/>
        </w:rPr>
      </w:pP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>This is intended to</w:t>
      </w:r>
      <w:r w:rsidRPr="1F4FFDA3" w:rsidR="002C5668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provide a high-level summary of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the reporting set out in Chapter 2 </w:t>
      </w:r>
      <w:r w:rsidRPr="1F4FFDA3" w:rsidR="230FD922">
        <w:rPr>
          <w:rFonts w:eastAsia="Aptos" w:cs="Times New Roman"/>
          <w:i w:val="1"/>
          <w:iCs w:val="1"/>
          <w:color w:val="5A5A5A"/>
          <w:sz w:val="22"/>
          <w:szCs w:val="22"/>
        </w:rPr>
        <w:t>Programme</w:t>
      </w:r>
      <w:r w:rsidRPr="1F4FFDA3" w:rsidR="230FD922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Delivery 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and Chapter 6 </w:t>
      </w:r>
      <w:r w:rsidRPr="1F4FFDA3" w:rsidR="2FA5BBDF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MERL 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>of the Operations Manual, and</w:t>
      </w:r>
      <w:r w:rsidRPr="1F4FFDA3" w:rsidR="00301CA3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to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</w:t>
      </w:r>
      <w:r w:rsidRPr="1F4FFDA3" w:rsidR="00874BB4">
        <w:rPr>
          <w:rFonts w:eastAsia="Aptos" w:cs="Times New Roman"/>
          <w:i w:val="1"/>
          <w:iCs w:val="1"/>
          <w:color w:val="5A5A5A"/>
          <w:sz w:val="22"/>
          <w:szCs w:val="22"/>
        </w:rPr>
        <w:t>consolidate</w:t>
      </w:r>
      <w:r w:rsidRPr="1F4FFDA3" w:rsidR="00874BB4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 it with 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>WRP Donor Requirements</w:t>
      </w:r>
      <w:r w:rsidRPr="1F4FFDA3" w:rsidR="00FA3020">
        <w:rPr>
          <w:rFonts w:eastAsia="Aptos" w:cs="Times New Roman"/>
          <w:i w:val="1"/>
          <w:iCs w:val="1"/>
          <w:color w:val="5A5A5A"/>
          <w:sz w:val="22"/>
          <w:szCs w:val="22"/>
        </w:rPr>
        <w:t xml:space="preserve">.  </w:t>
      </w:r>
    </w:p>
    <w:p w:rsidR="00BD77F3" w:rsidP="00012A88" w:rsidRDefault="006F4083" w14:paraId="61EAB386" w14:textId="4746B9C6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  <w:r>
        <w:rPr>
          <w:rFonts w:eastAsia="Aptos" w:cs="Times New Roman"/>
          <w:i/>
          <w:color w:val="5A5A5A"/>
          <w:sz w:val="22"/>
        </w:rPr>
        <w:t xml:space="preserve">Information </w:t>
      </w:r>
      <w:r w:rsidR="00BD77F3">
        <w:rPr>
          <w:rFonts w:eastAsia="Aptos" w:cs="Times New Roman"/>
          <w:i/>
          <w:color w:val="5A5A5A"/>
          <w:sz w:val="22"/>
        </w:rPr>
        <w:t xml:space="preserve">submitted to </w:t>
      </w:r>
      <w:r w:rsidR="00CA3A32">
        <w:rPr>
          <w:rFonts w:eastAsia="Aptos" w:cs="Times New Roman"/>
          <w:i/>
          <w:color w:val="5A5A5A"/>
          <w:sz w:val="22"/>
        </w:rPr>
        <w:t>the</w:t>
      </w:r>
      <w:r w:rsidR="00BD77F3">
        <w:rPr>
          <w:rFonts w:eastAsia="Aptos" w:cs="Times New Roman"/>
          <w:i/>
          <w:color w:val="5A5A5A"/>
          <w:sz w:val="22"/>
        </w:rPr>
        <w:t xml:space="preserve"> </w:t>
      </w:r>
      <w:r>
        <w:rPr>
          <w:rFonts w:eastAsia="Aptos" w:cs="Times New Roman"/>
          <w:i/>
          <w:color w:val="5A5A5A"/>
          <w:sz w:val="22"/>
        </w:rPr>
        <w:t xml:space="preserve">Donor and </w:t>
      </w:r>
      <w:r w:rsidR="00BD77F3">
        <w:rPr>
          <w:rFonts w:eastAsia="Aptos" w:cs="Times New Roman"/>
          <w:i/>
          <w:color w:val="5A5A5A"/>
          <w:sz w:val="22"/>
        </w:rPr>
        <w:t>Steering Committee</w:t>
      </w:r>
      <w:r>
        <w:rPr>
          <w:rFonts w:eastAsia="Aptos" w:cs="Times New Roman"/>
          <w:i/>
          <w:color w:val="5A5A5A"/>
          <w:sz w:val="22"/>
        </w:rPr>
        <w:t>s</w:t>
      </w:r>
      <w:r w:rsidR="00BD77F3">
        <w:rPr>
          <w:rFonts w:eastAsia="Aptos" w:cs="Times New Roman"/>
          <w:i/>
          <w:color w:val="5A5A5A"/>
          <w:sz w:val="22"/>
        </w:rPr>
        <w:t xml:space="preserve"> </w:t>
      </w:r>
      <w:r w:rsidR="00CA3A32">
        <w:rPr>
          <w:rFonts w:eastAsia="Aptos" w:cs="Times New Roman"/>
          <w:i/>
          <w:color w:val="5A5A5A"/>
          <w:sz w:val="22"/>
        </w:rPr>
        <w:t xml:space="preserve">will be </w:t>
      </w:r>
      <w:r>
        <w:rPr>
          <w:rFonts w:eastAsia="Aptos" w:cs="Times New Roman"/>
          <w:i/>
          <w:color w:val="5A5A5A"/>
          <w:sz w:val="22"/>
        </w:rPr>
        <w:t>deemed to satisfy WRP Donor reporting requirements.</w:t>
      </w:r>
    </w:p>
    <w:p w:rsidR="00E85756" w:rsidP="00012A88" w:rsidRDefault="00E85756" w14:paraId="20E95151" w14:textId="4DC7DF8F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  <w:r>
        <w:rPr>
          <w:rFonts w:eastAsia="Aptos" w:cs="Times New Roman"/>
          <w:i/>
          <w:color w:val="5A5A5A"/>
          <w:sz w:val="22"/>
        </w:rPr>
        <w:t xml:space="preserve">As SPREP is the counterparty to all </w:t>
      </w:r>
      <w:r w:rsidR="00874BB4">
        <w:rPr>
          <w:rFonts w:eastAsia="Aptos" w:cs="Times New Roman"/>
          <w:i/>
          <w:color w:val="5A5A5A"/>
          <w:sz w:val="22"/>
        </w:rPr>
        <w:t>agreements</w:t>
      </w:r>
      <w:r>
        <w:rPr>
          <w:rFonts w:eastAsia="Aptos" w:cs="Times New Roman"/>
          <w:i/>
          <w:color w:val="5A5A5A"/>
          <w:sz w:val="22"/>
        </w:rPr>
        <w:t>,</w:t>
      </w:r>
      <w:r w:rsidR="00874BB4">
        <w:rPr>
          <w:rFonts w:eastAsia="Aptos" w:cs="Times New Roman"/>
          <w:i/>
          <w:color w:val="5A5A5A"/>
          <w:sz w:val="22"/>
        </w:rPr>
        <w:t xml:space="preserve"> for simplicity’s sake</w:t>
      </w:r>
      <w:r>
        <w:rPr>
          <w:rFonts w:eastAsia="Aptos" w:cs="Times New Roman"/>
          <w:i/>
          <w:color w:val="5A5A5A"/>
          <w:sz w:val="22"/>
        </w:rPr>
        <w:t xml:space="preserve"> it is assumed that SPREP is responsible for submitting </w:t>
      </w:r>
      <w:r w:rsidR="005E3D9F">
        <w:rPr>
          <w:rFonts w:eastAsia="Aptos" w:cs="Times New Roman"/>
          <w:i/>
          <w:color w:val="5A5A5A"/>
          <w:sz w:val="22"/>
        </w:rPr>
        <w:t>all reports and</w:t>
      </w:r>
      <w:r>
        <w:rPr>
          <w:rFonts w:eastAsia="Aptos" w:cs="Times New Roman"/>
          <w:i/>
          <w:color w:val="5A5A5A"/>
          <w:sz w:val="22"/>
        </w:rPr>
        <w:t xml:space="preserve"> information to </w:t>
      </w:r>
      <w:r w:rsidR="00A2634C">
        <w:rPr>
          <w:rFonts w:eastAsia="Aptos" w:cs="Times New Roman"/>
          <w:i/>
          <w:color w:val="5A5A5A"/>
          <w:sz w:val="22"/>
        </w:rPr>
        <w:t xml:space="preserve">the WRP Donors. </w:t>
      </w:r>
      <w:r w:rsidR="000E08E0">
        <w:rPr>
          <w:rFonts w:eastAsia="Aptos" w:cs="Times New Roman"/>
          <w:i/>
          <w:color w:val="5A5A5A"/>
          <w:sz w:val="22"/>
        </w:rPr>
        <w:t xml:space="preserve">The processes it uses for </w:t>
      </w:r>
      <w:r w:rsidR="00594D9A">
        <w:rPr>
          <w:rFonts w:eastAsia="Aptos" w:cs="Times New Roman"/>
          <w:i/>
          <w:color w:val="5A5A5A"/>
          <w:sz w:val="22"/>
        </w:rPr>
        <w:t xml:space="preserve">consolidating the information for each report are set out in the Operations Manual. </w:t>
      </w:r>
    </w:p>
    <w:p w:rsidRPr="00625EA0" w:rsidR="00625EA0" w:rsidP="00625EA0" w:rsidRDefault="00625EA0" w14:paraId="3911845E" w14:textId="77777777">
      <w:pPr>
        <w:kinsoku w:val="0"/>
        <w:overflowPunct w:val="0"/>
        <w:autoSpaceDE w:val="0"/>
        <w:autoSpaceDN w:val="0"/>
        <w:adjustRightInd w:val="0"/>
        <w:spacing w:before="24"/>
        <w:rPr>
          <w:rFonts w:ascii="Times New Roman" w:hAnsi="Times New Roman" w:cs="Times New Roman"/>
          <w:sz w:val="20"/>
          <w:szCs w:val="20"/>
          <w:lang w:val="en-GB"/>
        </w:rPr>
      </w:pPr>
      <w:bookmarkStart w:name="1._Purpose_and_reporting_objectives" w:id="0"/>
      <w:bookmarkEnd w:id="0"/>
    </w:p>
    <w:p w:rsidRPr="002F45EC" w:rsidR="00625EA0" w:rsidP="002F45EC" w:rsidRDefault="00625EA0" w14:paraId="700FC9C3" w14:textId="6A725E4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61"/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</w:pPr>
      <w:bookmarkStart w:name="3._Annual_reporting_architecture" w:id="1"/>
      <w:bookmarkStart w:name="2._Reporting_principles" w:id="2"/>
      <w:bookmarkEnd w:id="1"/>
      <w:bookmarkEnd w:id="2"/>
      <w:r w:rsidRPr="002F45EC"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  <w:t>Reporting principles</w:t>
      </w:r>
    </w:p>
    <w:p w:rsidRPr="00625EA0" w:rsidR="00625EA0" w:rsidP="00625EA0" w:rsidRDefault="00625EA0" w14:paraId="28BC1FD9" w14:textId="77777777">
      <w:pPr>
        <w:kinsoku w:val="0"/>
        <w:overflowPunct w:val="0"/>
        <w:autoSpaceDE w:val="0"/>
        <w:autoSpaceDN w:val="0"/>
        <w:adjustRightInd w:val="0"/>
        <w:spacing w:before="8" w:after="1"/>
        <w:rPr>
          <w:rFonts w:ascii="Calibri" w:hAnsi="Calibri" w:cs="Calibri"/>
          <w:b/>
          <w:bCs/>
          <w:sz w:val="12"/>
          <w:szCs w:val="12"/>
          <w:lang w:val="en-GB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6009"/>
      </w:tblGrid>
      <w:tr w:rsidRPr="00625EA0" w:rsidR="005A34B8" w:rsidTr="1F4FFDA3" w14:paraId="2841C81A" w14:textId="77777777">
        <w:trPr>
          <w:trHeight w:val="477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33F61"/>
            <w:tcMar/>
          </w:tcPr>
          <w:p w:rsidRPr="00625EA0" w:rsidR="00625EA0" w:rsidP="00625EA0" w:rsidRDefault="00625EA0" w14:paraId="541E91C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ind w:left="91"/>
              <w:rPr>
                <w:rFonts w:ascii="Calibri" w:hAnsi="Calibri" w:cs="Calibri"/>
                <w:b/>
                <w:bCs/>
                <w:color w:val="FFFFFF"/>
                <w:spacing w:val="-2"/>
                <w:w w:val="110"/>
                <w:sz w:val="22"/>
                <w:lang w:val="en-GB"/>
              </w:rPr>
            </w:pPr>
            <w:r w:rsidRPr="00625EA0">
              <w:rPr>
                <w:rFonts w:ascii="Calibri" w:hAnsi="Calibri" w:cs="Calibri"/>
                <w:b/>
                <w:bCs/>
                <w:color w:val="FFFFFF"/>
                <w:spacing w:val="-2"/>
                <w:w w:val="110"/>
                <w:sz w:val="22"/>
                <w:lang w:val="en-GB"/>
              </w:rPr>
              <w:t>Principle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33F61"/>
            <w:tcMar/>
          </w:tcPr>
          <w:p w:rsidRPr="00625EA0" w:rsidR="00625EA0" w:rsidP="00625EA0" w:rsidRDefault="00625EA0" w14:paraId="33CBB09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ind w:left="112"/>
              <w:rPr>
                <w:rFonts w:ascii="Calibri" w:hAnsi="Calibri" w:cs="Calibri"/>
                <w:b/>
                <w:bCs/>
                <w:color w:val="FFFFFF"/>
                <w:w w:val="110"/>
                <w:sz w:val="22"/>
                <w:lang w:val="en-GB"/>
              </w:rPr>
            </w:pPr>
            <w:r w:rsidRPr="00625EA0">
              <w:rPr>
                <w:rFonts w:ascii="Calibri" w:hAnsi="Calibri" w:cs="Calibri"/>
                <w:b/>
                <w:bCs/>
                <w:color w:val="FFFFFF"/>
                <w:w w:val="110"/>
                <w:sz w:val="22"/>
                <w:lang w:val="en-GB"/>
              </w:rPr>
              <w:t>Application in the annual framework</w:t>
            </w:r>
          </w:p>
        </w:tc>
      </w:tr>
      <w:tr w:rsidRPr="00625EA0" w:rsidR="005A34B8" w:rsidTr="1F4FFDA3" w14:paraId="675C512B" w14:textId="77777777">
        <w:trPr>
          <w:trHeight w:val="1248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5EA0" w:rsidR="00625EA0" w:rsidP="1F4FFDA3" w:rsidRDefault="00625EA0" w14:paraId="7EA658F8" w14:textId="777777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625EA0" w:rsidR="00625EA0" w:rsidP="1F4FFDA3" w:rsidRDefault="00625EA0" w14:paraId="4EB025E4" w14:textId="777777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</w:pPr>
            <w:r w:rsidRPr="1F4FFDA3" w:rsidR="00625EA0"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  <w:t>Unified first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5EA0" w:rsidR="00625EA0" w:rsidP="0062296D" w:rsidRDefault="00625EA0" w14:paraId="56AA8926" w14:textId="78961B71">
            <w:pPr>
              <w:kinsoku w:val="0"/>
              <w:overflowPunct w:val="0"/>
              <w:autoSpaceDE w:val="0"/>
              <w:autoSpaceDN w:val="0"/>
              <w:adjustRightInd w:val="0"/>
              <w:spacing w:before="113" w:line="254" w:lineRule="auto"/>
              <w:ind w:left="112" w:right="97"/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</w:pP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The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956000" w:rsidR="00C06B26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WRP Reporting Framework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is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the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default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reporting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>vehicle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pacing w:val="-2"/>
                <w:w w:val="110"/>
                <w:sz w:val="22"/>
                <w:lang w:val="en-GB"/>
              </w:rPr>
              <w:t xml:space="preserve">for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all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>WRP D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onors and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>incorporates n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arrative, results, finance, risk and compliance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 xml:space="preserve">reporting. </w:t>
            </w:r>
          </w:p>
        </w:tc>
      </w:tr>
      <w:tr w:rsidRPr="00625EA0" w:rsidR="005A34B8" w:rsidTr="1F4FFDA3" w14:paraId="34AA6BFD" w14:textId="77777777">
        <w:trPr>
          <w:trHeight w:val="1247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5EA0" w:rsidR="00625EA0" w:rsidP="1F4FFDA3" w:rsidRDefault="00625EA0" w14:paraId="5BA2BAB5" w14:textId="777777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625EA0" w:rsidR="00625EA0" w:rsidP="1F4FFDA3" w:rsidRDefault="00625EA0" w14:paraId="0CE194AA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</w:pPr>
            <w:r w:rsidRPr="1F4FFDA3" w:rsidR="00625EA0"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  <w:t>Donor-wide disclosure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5EA0" w:rsidR="00625EA0" w:rsidP="0062296D" w:rsidRDefault="00625EA0" w14:paraId="4510E83E" w14:textId="75EA43F8">
            <w:pPr>
              <w:kinsoku w:val="0"/>
              <w:overflowPunct w:val="0"/>
              <w:autoSpaceDE w:val="0"/>
              <w:autoSpaceDN w:val="0"/>
              <w:adjustRightInd w:val="0"/>
              <w:spacing w:before="113" w:line="254" w:lineRule="auto"/>
              <w:ind w:left="112" w:right="252"/>
              <w:rPr>
                <w:rFonts w:ascii="Calibri" w:hAnsi="Calibri" w:cs="Calibri"/>
                <w:w w:val="110"/>
                <w:sz w:val="22"/>
                <w:lang w:val="en-GB"/>
              </w:rPr>
            </w:pP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If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one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>WRP D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onor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requires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956000" w:rsidR="00C06B26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additional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information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the</w:t>
            </w:r>
            <w:r w:rsidRPr="00625EA0">
              <w:rPr>
                <w:rFonts w:ascii="Calibri" w:hAnsi="Calibri" w:cs="Calibri"/>
                <w:spacing w:val="-12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same</w:t>
            </w:r>
            <w:r w:rsidRPr="00625EA0">
              <w:rPr>
                <w:rFonts w:ascii="Calibri" w:hAnsi="Calibri" w:cs="Calibri"/>
                <w:spacing w:val="-12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information should be made available to all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>WRP D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onors through </w:t>
            </w:r>
            <w:r w:rsidR="00440183">
              <w:rPr>
                <w:rFonts w:ascii="Calibri" w:hAnsi="Calibri" w:cs="Calibri"/>
                <w:w w:val="110"/>
                <w:sz w:val="22"/>
                <w:lang w:val="en-GB"/>
              </w:rPr>
              <w:t>a</w:t>
            </w:r>
            <w:r w:rsidR="00E03978">
              <w:rPr>
                <w:rFonts w:ascii="Calibri" w:hAnsi="Calibri" w:cs="Calibri"/>
                <w:w w:val="110"/>
                <w:sz w:val="22"/>
                <w:lang w:val="en-GB"/>
              </w:rPr>
              <w:t xml:space="preserve"> reporting prod</w:t>
            </w:r>
            <w:r w:rsidR="00440183">
              <w:rPr>
                <w:rFonts w:ascii="Calibri" w:hAnsi="Calibri" w:cs="Calibri"/>
                <w:w w:val="110"/>
                <w:sz w:val="22"/>
                <w:lang w:val="en-GB"/>
              </w:rPr>
              <w:t>uct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 or </w:t>
            </w:r>
            <w:r w:rsidRPr="00956000" w:rsidR="00C06B26">
              <w:rPr>
                <w:rFonts w:ascii="Calibri" w:hAnsi="Calibri" w:cs="Calibri"/>
                <w:w w:val="110"/>
                <w:sz w:val="22"/>
                <w:lang w:val="en-GB"/>
              </w:rPr>
              <w:t xml:space="preserve">a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companion annex</w:t>
            </w:r>
            <w:r w:rsidR="00353422">
              <w:rPr>
                <w:rFonts w:ascii="Calibri" w:hAnsi="Calibri" w:cs="Calibri"/>
                <w:w w:val="110"/>
                <w:sz w:val="22"/>
                <w:lang w:val="en-GB"/>
              </w:rPr>
              <w:t xml:space="preserve"> to a reporting product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.</w:t>
            </w:r>
          </w:p>
        </w:tc>
      </w:tr>
      <w:tr w:rsidRPr="00625EA0" w:rsidR="005A34B8" w:rsidTr="1F4FFDA3" w14:paraId="519E5E38" w14:textId="77777777">
        <w:trPr>
          <w:trHeight w:val="1247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5EA0" w:rsidR="00625EA0" w:rsidP="1F4FFDA3" w:rsidRDefault="00625EA0" w14:paraId="20ED4493" w14:textId="777777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625EA0" w:rsidR="00625EA0" w:rsidP="1F4FFDA3" w:rsidRDefault="00625EA0" w14:paraId="496C6C8F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</w:pPr>
            <w:r w:rsidRPr="1F4FFDA3" w:rsidR="00625EA0"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  <w:t>No loss of audit trail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5EA0" w:rsidR="00625EA0" w:rsidP="0062296D" w:rsidRDefault="00625EA0" w14:paraId="5F8D7A6C" w14:textId="2D301230">
            <w:pPr>
              <w:kinsoku w:val="0"/>
              <w:overflowPunct w:val="0"/>
              <w:autoSpaceDE w:val="0"/>
              <w:autoSpaceDN w:val="0"/>
              <w:adjustRightInd w:val="0"/>
              <w:spacing w:before="114" w:line="254" w:lineRule="auto"/>
              <w:ind w:left="112" w:right="252"/>
              <w:rPr>
                <w:rFonts w:ascii="Calibri" w:hAnsi="Calibri" w:cs="Calibri"/>
                <w:w w:val="110"/>
                <w:sz w:val="22"/>
                <w:lang w:val="en-GB"/>
              </w:rPr>
            </w:pP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Every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figure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and</w:t>
            </w:r>
            <w:r w:rsidRPr="00625EA0">
              <w:rPr>
                <w:rFonts w:ascii="Calibri" w:hAnsi="Calibri" w:cs="Calibri"/>
                <w:spacing w:val="-4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statement</w:t>
            </w:r>
            <w:r w:rsidRPr="00956000" w:rsidR="003951F6">
              <w:rPr>
                <w:rFonts w:ascii="Calibri" w:hAnsi="Calibri" w:cs="Calibri"/>
                <w:w w:val="110"/>
                <w:sz w:val="22"/>
                <w:lang w:val="en-GB"/>
              </w:rPr>
              <w:t xml:space="preserve"> reported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in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the</w:t>
            </w:r>
            <w:r w:rsidRPr="00625EA0">
              <w:rPr>
                <w:rFonts w:ascii="Calibri" w:hAnsi="Calibri" w:cs="Calibri"/>
                <w:spacing w:val="-5"/>
                <w:w w:val="110"/>
                <w:sz w:val="22"/>
                <w:lang w:val="en-GB"/>
              </w:rPr>
              <w:t xml:space="preserve"> </w:t>
            </w:r>
            <w:r w:rsidRPr="00956000" w:rsidR="003951F6">
              <w:rPr>
                <w:rFonts w:ascii="Calibri" w:hAnsi="Calibri" w:cs="Calibri"/>
                <w:w w:val="110"/>
                <w:sz w:val="22"/>
                <w:lang w:val="en-GB"/>
              </w:rPr>
              <w:t>WRP Reporting Framework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 </w:t>
            </w:r>
            <w:r w:rsidRPr="00625EA0">
              <w:rPr>
                <w:rFonts w:ascii="Calibri" w:hAnsi="Calibri" w:cs="Calibri"/>
                <w:sz w:val="22"/>
                <w:lang w:val="en-GB"/>
              </w:rPr>
              <w:t xml:space="preserve">should reconcile to the Programme Tracker, SPREP 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finance system, signed agency inputs</w:t>
            </w:r>
            <w:r w:rsidR="00125DDA">
              <w:rPr>
                <w:rFonts w:ascii="Calibri" w:hAnsi="Calibri" w:cs="Calibri"/>
                <w:w w:val="110"/>
                <w:sz w:val="22"/>
                <w:lang w:val="en-GB"/>
              </w:rPr>
              <w:t>, underlying financial records,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 </w:t>
            </w:r>
            <w:r w:rsidR="00125DDA">
              <w:rPr>
                <w:rFonts w:ascii="Calibri" w:hAnsi="Calibri" w:cs="Calibri"/>
                <w:w w:val="110"/>
                <w:sz w:val="22"/>
                <w:lang w:val="en-GB"/>
              </w:rPr>
              <w:t>and/</w:t>
            </w:r>
            <w:r w:rsidRPr="00625EA0">
              <w:rPr>
                <w:rFonts w:ascii="Calibri" w:hAnsi="Calibri" w:cs="Calibri"/>
                <w:w w:val="110"/>
                <w:sz w:val="22"/>
                <w:lang w:val="en-GB"/>
              </w:rPr>
              <w:t>or audited financial statements.</w:t>
            </w:r>
          </w:p>
        </w:tc>
      </w:tr>
      <w:tr w:rsidRPr="00625EA0" w:rsidR="005A34B8" w:rsidTr="1F4FFDA3" w14:paraId="4384A3B5" w14:textId="77777777">
        <w:trPr>
          <w:trHeight w:val="1247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5EA0" w:rsidR="00625EA0" w:rsidP="1F4FFDA3" w:rsidRDefault="00625EA0" w14:paraId="43917425" w14:textId="777777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625EA0" w:rsidR="00625EA0" w:rsidP="1F4FFDA3" w:rsidRDefault="00625EA0" w14:paraId="3E217533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</w:pPr>
            <w:r w:rsidRPr="1F4FFDA3" w:rsidR="00625EA0">
              <w:rPr>
                <w:rFonts w:ascii="Calibri" w:hAnsi="Calibri" w:cs="Calibri"/>
                <w:w w:val="105"/>
                <w:sz w:val="22"/>
                <w:szCs w:val="22"/>
                <w:lang w:val="en-GB"/>
              </w:rPr>
              <w:t>Clear separation of timing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5EA0" w:rsidR="00625EA0" w:rsidP="0062296D" w:rsidRDefault="008C5F0C" w14:paraId="249A037D" w14:textId="0327C889">
            <w:pPr>
              <w:kinsoku w:val="0"/>
              <w:overflowPunct w:val="0"/>
              <w:autoSpaceDE w:val="0"/>
              <w:autoSpaceDN w:val="0"/>
              <w:adjustRightInd w:val="0"/>
              <w:spacing w:before="114" w:line="254" w:lineRule="auto"/>
              <w:ind w:left="112" w:right="296"/>
              <w:rPr>
                <w:rFonts w:ascii="Calibri" w:hAnsi="Calibri" w:cs="Calibri"/>
                <w:w w:val="110"/>
                <w:sz w:val="22"/>
                <w:lang w:val="en-GB"/>
              </w:rPr>
            </w:pPr>
            <w:r w:rsidRPr="00956000">
              <w:rPr>
                <w:rFonts w:ascii="Calibri" w:hAnsi="Calibri" w:cs="Calibri"/>
                <w:w w:val="110"/>
                <w:sz w:val="22"/>
                <w:lang w:val="en-GB"/>
              </w:rPr>
              <w:t xml:space="preserve">The WRP Reporting Framework incorporates 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monthly </w:t>
            </w:r>
            <w:r w:rsidRPr="00956000">
              <w:rPr>
                <w:rFonts w:ascii="Calibri" w:hAnsi="Calibri" w:cs="Calibri"/>
                <w:w w:val="110"/>
                <w:sz w:val="22"/>
                <w:lang w:val="en-GB"/>
              </w:rPr>
              <w:t>WRP D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onor engagement, </w:t>
            </w:r>
            <w:r w:rsidR="005614D6">
              <w:rPr>
                <w:rFonts w:ascii="Calibri" w:hAnsi="Calibri" w:cs="Calibri"/>
                <w:w w:val="110"/>
                <w:sz w:val="22"/>
                <w:lang w:val="en-GB"/>
              </w:rPr>
              <w:t xml:space="preserve">quarterly financial reporting, </w:t>
            </w:r>
            <w:r w:rsidRPr="00956000">
              <w:rPr>
                <w:rFonts w:ascii="Calibri" w:hAnsi="Calibri" w:cs="Calibri"/>
                <w:w w:val="110"/>
                <w:sz w:val="22"/>
                <w:lang w:val="en-GB"/>
              </w:rPr>
              <w:t xml:space="preserve">six-monthly </w:t>
            </w:r>
            <w:r w:rsidRPr="00956000" w:rsidR="007412F4">
              <w:rPr>
                <w:rFonts w:ascii="Calibri" w:hAnsi="Calibri" w:cs="Calibri"/>
                <w:w w:val="110"/>
                <w:sz w:val="22"/>
                <w:lang w:val="en-GB"/>
              </w:rPr>
              <w:t xml:space="preserve">financial </w:t>
            </w:r>
            <w:r w:rsidR="006A2B41">
              <w:rPr>
                <w:rFonts w:ascii="Calibri" w:hAnsi="Calibri" w:cs="Calibri"/>
                <w:w w:val="110"/>
                <w:sz w:val="22"/>
                <w:lang w:val="en-GB"/>
              </w:rPr>
              <w:t xml:space="preserve">and progress </w:t>
            </w:r>
            <w:r w:rsidRPr="00956000" w:rsidR="007412F4">
              <w:rPr>
                <w:rFonts w:ascii="Calibri" w:hAnsi="Calibri" w:cs="Calibri"/>
                <w:w w:val="110"/>
                <w:sz w:val="22"/>
                <w:lang w:val="en-GB"/>
              </w:rPr>
              <w:t xml:space="preserve">reports, </w:t>
            </w:r>
            <w:r w:rsidR="006A2B41">
              <w:rPr>
                <w:rFonts w:ascii="Calibri" w:hAnsi="Calibri" w:cs="Calibri"/>
                <w:w w:val="110"/>
                <w:sz w:val="22"/>
                <w:lang w:val="en-GB"/>
              </w:rPr>
              <w:t xml:space="preserve">annual financial and progress reports, </w:t>
            </w:r>
            <w:r w:rsidRPr="00956000">
              <w:rPr>
                <w:rFonts w:ascii="Calibri" w:hAnsi="Calibri" w:cs="Calibri"/>
                <w:w w:val="110"/>
                <w:sz w:val="22"/>
                <w:lang w:val="en-GB"/>
              </w:rPr>
              <w:t xml:space="preserve">immediate 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fraud </w:t>
            </w:r>
            <w:r w:rsidRPr="00956000" w:rsidR="007412F4">
              <w:rPr>
                <w:rFonts w:ascii="Calibri" w:hAnsi="Calibri" w:cs="Calibri"/>
                <w:w w:val="110"/>
                <w:sz w:val="22"/>
                <w:lang w:val="en-GB"/>
              </w:rPr>
              <w:t xml:space="preserve">and 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serious-incident notifications, </w:t>
            </w:r>
            <w:r w:rsidRPr="00956000" w:rsidR="007412F4">
              <w:rPr>
                <w:rFonts w:ascii="Calibri" w:hAnsi="Calibri" w:cs="Calibri"/>
                <w:w w:val="110"/>
                <w:sz w:val="22"/>
                <w:lang w:val="en-GB"/>
              </w:rPr>
              <w:t xml:space="preserve">and 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 xml:space="preserve">ad hoc </w:t>
            </w:r>
            <w:r w:rsidRPr="00956000" w:rsidR="007412F4">
              <w:rPr>
                <w:rFonts w:ascii="Calibri" w:hAnsi="Calibri" w:cs="Calibri"/>
                <w:w w:val="110"/>
                <w:sz w:val="22"/>
                <w:lang w:val="en-GB"/>
              </w:rPr>
              <w:t>funding disbursement requests</w:t>
            </w:r>
            <w:r w:rsidRPr="00625EA0" w:rsidR="00625EA0">
              <w:rPr>
                <w:rFonts w:ascii="Calibri" w:hAnsi="Calibri" w:cs="Calibri"/>
                <w:w w:val="110"/>
                <w:sz w:val="22"/>
                <w:lang w:val="en-GB"/>
              </w:rPr>
              <w:t>.</w:t>
            </w:r>
          </w:p>
        </w:tc>
      </w:tr>
      <w:tr w:rsidRPr="00625EA0" w:rsidR="005A34B8" w:rsidTr="1F4FFDA3" w14:paraId="5552C708" w14:textId="77777777">
        <w:trPr>
          <w:trHeight w:val="992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5EA0" w:rsidR="00625EA0" w:rsidP="1F4FFDA3" w:rsidRDefault="00273388" w14:paraId="748FE396" w14:textId="08237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1F4FFDA3" w:rsidR="0027338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Radical transparency</w:t>
            </w:r>
          </w:p>
        </w:tc>
        <w:tc>
          <w:tcPr>
            <w:tcW w:w="6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5EA0" w:rsidR="00625EA0" w:rsidP="1F4FFDA3" w:rsidRDefault="007E393D" w14:paraId="4F1AE1BC" w14:textId="4126E57B">
            <w:pPr>
              <w:pStyle w:val="Normal"/>
              <w:suppressLineNumbers w:val="0"/>
              <w:bidi w:val="0"/>
              <w:spacing w:before="114" w:beforeAutospacing="off" w:after="0" w:afterAutospacing="off" w:line="254" w:lineRule="auto"/>
              <w:ind w:left="112" w:right="296"/>
              <w:jc w:val="left"/>
              <w:rPr>
                <w:rFonts w:ascii="Calibri" w:hAnsi="Calibri" w:cs="Calibri"/>
                <w:noProof w:val="0"/>
                <w:sz w:val="22"/>
                <w:szCs w:val="22"/>
                <w:lang w:val="en-US"/>
              </w:rPr>
            </w:pPr>
            <w:r w:rsidRPr="1F4FFDA3" w:rsidR="3B6DA314">
              <w:rPr>
                <w:rFonts w:ascii="Calibri" w:hAnsi="Calibri" w:cs="Calibri"/>
                <w:noProof w:val="0"/>
                <w:sz w:val="22"/>
                <w:szCs w:val="22"/>
                <w:lang w:val="en-US"/>
              </w:rPr>
              <w:t xml:space="preserve">Publication of WRP reporting products is governed by the Disclosure Policy in Chapter 9 of the Operations Manual. </w:t>
            </w:r>
          </w:p>
        </w:tc>
      </w:tr>
    </w:tbl>
    <w:p w:rsidR="00A2634C" w:rsidP="00012A88" w:rsidRDefault="00A2634C" w14:paraId="1DA8230F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4E44BF7B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4EEED394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6112CEE9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629E6859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548A4BDB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32C9888E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="002F45EC" w:rsidP="00012A88" w:rsidRDefault="002F45EC" w14:paraId="24A05F3A" w14:textId="77777777">
      <w:pPr>
        <w:spacing w:after="120" w:line="264" w:lineRule="auto"/>
        <w:jc w:val="center"/>
        <w:rPr>
          <w:rFonts w:eastAsia="Aptos" w:cs="Times New Roman"/>
          <w:i/>
          <w:color w:val="5A5A5A"/>
          <w:sz w:val="22"/>
        </w:rPr>
      </w:pPr>
    </w:p>
    <w:p w:rsidRPr="002F45EC" w:rsidR="002F45EC" w:rsidP="002F45EC" w:rsidRDefault="002F45EC" w14:paraId="2998A2D7" w14:textId="4065252D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61"/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</w:pPr>
      <w:r w:rsidRPr="002F45EC"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  <w:t xml:space="preserve">Reporting </w:t>
      </w:r>
      <w:r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  <w:t>p</w:t>
      </w:r>
      <w:r w:rsidRPr="002F45EC">
        <w:rPr>
          <w:rFonts w:ascii="Calibri" w:hAnsi="Calibri" w:cs="Calibri"/>
          <w:b/>
          <w:bCs/>
          <w:color w:val="16355C"/>
          <w:sz w:val="30"/>
          <w:szCs w:val="30"/>
          <w:lang w:val="en-GB"/>
        </w:rPr>
        <w:t>roducts</w:t>
      </w:r>
    </w:p>
    <w:p w:rsidR="006A6B15" w:rsidRDefault="006A6B15" w14:paraId="16FFB209" w14:textId="52BFCD3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1340"/>
        <w:gridCol w:w="2797"/>
        <w:gridCol w:w="2408"/>
      </w:tblGrid>
      <w:tr w:rsidRPr="00BD77F3" w:rsidR="00155CDB" w:rsidTr="1F4FFDA3" w14:paraId="207C3652" w14:textId="2857917F">
        <w:trPr>
          <w:tblHeader/>
        </w:trPr>
        <w:tc>
          <w:tcPr>
            <w:tcW w:w="0" w:type="auto"/>
            <w:shd w:val="clear" w:color="auto" w:fill="17365D" w:themeFill="text2" w:themeFillShade="BF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324C0A" w:rsidP="003869BE" w:rsidRDefault="00871D04" w14:paraId="6A5DD191" w14:textId="2F1D134A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Product</w:t>
            </w:r>
          </w:p>
        </w:tc>
        <w:tc>
          <w:tcPr>
            <w:tcW w:w="0" w:type="auto"/>
            <w:shd w:val="clear" w:color="auto" w:fill="17365D" w:themeFill="text2" w:themeFillShade="BF"/>
            <w:tcMar/>
          </w:tcPr>
          <w:p w:rsidRPr="00BD77F3" w:rsidR="00324C0A" w:rsidP="003869BE" w:rsidRDefault="00324C0A" w14:paraId="7FB889AB" w14:textId="36BC497A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BD77F3">
              <w:rPr>
                <w:rFonts w:asciiTheme="majorHAnsi" w:hAnsiTheme="majorHAnsi" w:cstheme="majorHAnsi"/>
                <w:b/>
                <w:sz w:val="22"/>
              </w:rPr>
              <w:t>Recipient</w:t>
            </w:r>
          </w:p>
        </w:tc>
        <w:tc>
          <w:tcPr>
            <w:tcW w:w="0" w:type="auto"/>
            <w:shd w:val="clear" w:color="auto" w:fill="17365D" w:themeFill="text2" w:themeFillShade="BF"/>
            <w:tcMar/>
          </w:tcPr>
          <w:p w:rsidRPr="00BD77F3" w:rsidR="00324C0A" w:rsidP="003869BE" w:rsidRDefault="00324C0A" w14:paraId="2D8C42C8" w14:textId="68384F4A">
            <w:pPr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Deadline for Submission to WRP Donors (for WRP Donor Funding Instruments</w:t>
            </w:r>
            <w:r w:rsidR="00F40BF2">
              <w:rPr>
                <w:rFonts w:asciiTheme="majorHAnsi" w:hAnsiTheme="majorHAnsi" w:cstheme="majorHAnsi"/>
                <w:b/>
                <w:sz w:val="22"/>
              </w:rPr>
              <w:t>)</w:t>
            </w:r>
          </w:p>
        </w:tc>
        <w:tc>
          <w:tcPr>
            <w:tcW w:w="0" w:type="auto"/>
            <w:shd w:val="clear" w:color="auto" w:fill="17365D" w:themeFill="text2" w:themeFillShade="BF"/>
            <w:tcMar/>
          </w:tcPr>
          <w:p w:rsidR="00324C0A" w:rsidP="003869BE" w:rsidRDefault="00324C0A" w14:paraId="42758FE0" w14:textId="01F8CF29">
            <w:pPr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Deadline for Submission by Downstream Partner</w:t>
            </w:r>
            <w:r w:rsidR="00F40BF2">
              <w:rPr>
                <w:rFonts w:asciiTheme="majorHAnsi" w:hAnsiTheme="majorHAnsi" w:cstheme="majorHAnsi"/>
                <w:b/>
                <w:sz w:val="22"/>
              </w:rPr>
              <w:t xml:space="preserve"> (for agreements with Downstream Partners)</w:t>
            </w:r>
          </w:p>
        </w:tc>
      </w:tr>
      <w:tr w:rsidRPr="00BD77F3" w:rsidR="00155CDB" w:rsidTr="1F4FFDA3" w14:paraId="6CEDBA90" w14:textId="31CE18EB">
        <w:trPr/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324C0A" w:rsidP="00897D0C" w:rsidRDefault="00324C0A" w14:paraId="583CA9F3" w14:textId="33DE3565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 xml:space="preserve">Fortnightly 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verbal </w:t>
            </w: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>technical progress update</w:t>
            </w:r>
          </w:p>
        </w:tc>
        <w:tc>
          <w:tcPr>
            <w:tcW w:w="0" w:type="auto"/>
            <w:tcMar/>
          </w:tcPr>
          <w:p w:rsidRPr="00BD77F3" w:rsidR="00324C0A" w:rsidP="00897D0C" w:rsidRDefault="00324C0A" w14:paraId="71AA5EB9" w14:textId="2269C115">
            <w:pPr>
              <w:rPr>
                <w:rFonts w:asciiTheme="majorHAnsi" w:hAnsiTheme="majorHAnsi" w:cstheme="majorHAnsi"/>
                <w:sz w:val="22"/>
              </w:rPr>
            </w:pPr>
            <w:r w:rsidRPr="00BD77F3">
              <w:rPr>
                <w:rFonts w:asciiTheme="majorHAnsi" w:hAnsiTheme="majorHAnsi" w:cstheme="majorHAnsi"/>
                <w:sz w:val="22"/>
              </w:rPr>
              <w:t>Technical Committee</w:t>
            </w:r>
          </w:p>
        </w:tc>
        <w:tc>
          <w:tcPr>
            <w:tcW w:w="0" w:type="auto"/>
            <w:tcMar/>
          </w:tcPr>
          <w:p w:rsidRPr="00BD77F3" w:rsidR="00324C0A" w:rsidP="00897D0C" w:rsidRDefault="00324C0A" w14:paraId="39CEEE29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Pr="00BD77F3" w:rsidR="00324C0A" w:rsidP="00897D0C" w:rsidRDefault="00324C0A" w14:paraId="7F53B20F" w14:textId="10D18492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N/A</w:t>
            </w:r>
          </w:p>
          <w:p w:rsidRPr="00BD77F3" w:rsidR="00324C0A" w:rsidP="00897D0C" w:rsidRDefault="00324C0A" w14:paraId="42DFEC36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Pr="00BD77F3" w:rsidR="00324C0A" w:rsidP="00897D0C" w:rsidRDefault="00324C0A" w14:paraId="76833C8A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Pr="00BD77F3" w:rsidR="00324C0A" w:rsidP="00897D0C" w:rsidRDefault="00324C0A" w14:paraId="5FBFF7D2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tcMar/>
          </w:tcPr>
          <w:p w:rsidR="00324C0A" w:rsidP="00897D0C" w:rsidRDefault="00324C0A" w14:paraId="07DE08C5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Pr="00BD77F3" w:rsidR="00EF7B49" w:rsidP="00897D0C" w:rsidRDefault="00EF7B49" w14:paraId="4A9EB73A" w14:textId="1298D57B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TBC</w:t>
            </w:r>
          </w:p>
        </w:tc>
      </w:tr>
      <w:tr w:rsidRPr="00BD77F3" w:rsidR="00155CDB" w:rsidTr="1F4FFDA3" w14:paraId="00435076" w14:textId="5B5C3B4A">
        <w:trPr/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324C0A" w:rsidP="009E8BA3" w:rsidRDefault="00324C0A" w14:paraId="2678DC24" w14:textId="73484A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</w:pPr>
            <w:r w:rsidRPr="009E8BA3" w:rsidR="716CB153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>Bi-m</w:t>
            </w:r>
            <w:r w:rsidRPr="009E8BA3" w:rsidR="00324C0A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 xml:space="preserve">onthly </w:t>
            </w:r>
            <w:r w:rsidRPr="009E8BA3" w:rsidR="00324C0A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>D</w:t>
            </w:r>
            <w:r w:rsidRPr="009E8BA3" w:rsidR="00324C0A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 xml:space="preserve">onor </w:t>
            </w:r>
            <w:r w:rsidRPr="009E8BA3" w:rsidR="00324C0A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>Committee M</w:t>
            </w:r>
            <w:r w:rsidRPr="009E8BA3" w:rsidR="00324C0A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>eeting</w:t>
            </w:r>
            <w:r w:rsidRPr="009E8BA3" w:rsidR="00273388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 xml:space="preserve"> Update</w:t>
            </w:r>
          </w:p>
        </w:tc>
        <w:tc>
          <w:tcPr>
            <w:tcW w:w="0" w:type="auto"/>
            <w:tcMar/>
          </w:tcPr>
          <w:p w:rsidRPr="00BD77F3" w:rsidR="00324C0A" w:rsidP="00897D0C" w:rsidRDefault="00324C0A" w14:paraId="05A21E2F" w14:textId="0FA390F3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WRP D</w:t>
            </w:r>
            <w:r w:rsidRPr="00BD77F3">
              <w:rPr>
                <w:rFonts w:asciiTheme="majorHAnsi" w:hAnsiTheme="majorHAnsi" w:cstheme="majorHAnsi"/>
                <w:sz w:val="22"/>
              </w:rPr>
              <w:t>onor</w:t>
            </w:r>
            <w:r>
              <w:rPr>
                <w:rFonts w:asciiTheme="majorHAnsi" w:hAnsiTheme="majorHAnsi" w:cstheme="majorHAnsi"/>
                <w:sz w:val="22"/>
              </w:rPr>
              <w:t>s</w:t>
            </w:r>
          </w:p>
        </w:tc>
        <w:tc>
          <w:tcPr>
            <w:tcW w:w="0" w:type="auto"/>
            <w:tcMar/>
          </w:tcPr>
          <w:p w:rsidRPr="00BD77F3" w:rsidR="00324C0A" w:rsidP="00897D0C" w:rsidRDefault="006500FE" w14:paraId="1C781E64" w14:textId="2687A032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N/A</w:t>
            </w:r>
          </w:p>
        </w:tc>
        <w:tc>
          <w:tcPr>
            <w:tcW w:w="0" w:type="auto"/>
            <w:tcMar/>
          </w:tcPr>
          <w:p w:rsidRPr="00BD77F3" w:rsidR="00324C0A" w:rsidP="00897D0C" w:rsidRDefault="00871D04" w14:paraId="7C5B6FE7" w14:textId="1B70891A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TBC</w:t>
            </w:r>
          </w:p>
        </w:tc>
      </w:tr>
      <w:tr w:rsidR="1F4FFDA3" w:rsidTr="1F4FFDA3" w14:paraId="1F53CC70">
        <w:trPr>
          <w:jc w:val="center"/>
          <w:trHeight w:val="300"/>
        </w:trPr>
        <w:tc>
          <w:tcPr>
            <w:tcW w:w="4677" w:type="dxa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="1F4FFDA3" w:rsidP="1F4FFDA3" w:rsidRDefault="1F4FFDA3" w14:paraId="7EBD0161" w14:textId="3DA1A934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</w:pPr>
            <w:r w:rsidRPr="1F4FFDA3" w:rsidR="1F4FFDA3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 xml:space="preserve">Quarterly </w:t>
            </w:r>
            <w:r w:rsidRPr="1F4FFDA3" w:rsidR="1F4FFDA3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>Programme</w:t>
            </w:r>
            <w:r w:rsidRPr="1F4FFDA3" w:rsidR="1F4FFDA3">
              <w:rPr>
                <w:rFonts w:ascii="Calibri" w:hAnsi="Calibri" w:cs="Calibri" w:asciiTheme="majorAscii" w:hAnsiTheme="majorAscii" w:cstheme="majorAscii"/>
                <w:b w:val="1"/>
                <w:bCs w:val="1"/>
                <w:sz w:val="22"/>
                <w:szCs w:val="22"/>
              </w:rPr>
              <w:t xml:space="preserve"> Tracker and dashboard update</w:t>
            </w:r>
          </w:p>
        </w:tc>
        <w:tc>
          <w:tcPr>
            <w:tcW w:w="1340" w:type="dxa"/>
            <w:shd w:val="clear" w:color="auto" w:fill="FFFFFF" w:themeFill="background1"/>
            <w:tcMar/>
          </w:tcPr>
          <w:p w:rsidR="1F4FFDA3" w:rsidP="1F4FFDA3" w:rsidRDefault="1F4FFDA3" w14:paraId="188F23FC" w14:textId="23B6819B">
            <w:pPr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1F4FFDA3" w:rsidR="1F4FFDA3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PMU</w:t>
            </w:r>
          </w:p>
        </w:tc>
        <w:tc>
          <w:tcPr>
            <w:tcW w:w="2797" w:type="dxa"/>
            <w:shd w:val="clear" w:color="auto" w:fill="FFFFFF" w:themeFill="background1"/>
            <w:tcMar/>
          </w:tcPr>
          <w:p w:rsidR="1F4FFDA3" w:rsidP="1F4FFDA3" w:rsidRDefault="1F4FFDA3" w14:paraId="6F1B9AD2" w14:textId="4927B353">
            <w:pPr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1F4FFDA3" w:rsidR="1F4FFDA3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N/A</w:t>
            </w:r>
          </w:p>
        </w:tc>
        <w:tc>
          <w:tcPr>
            <w:tcW w:w="2408" w:type="dxa"/>
            <w:shd w:val="clear" w:color="auto" w:fill="FFFFFF" w:themeFill="background1"/>
            <w:tcMar/>
          </w:tcPr>
          <w:p w:rsidR="1F4FFDA3" w:rsidP="1F4FFDA3" w:rsidRDefault="1F4FFDA3" w14:paraId="26BC5D91" w14:textId="3C678229">
            <w:pPr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1F4FFDA3" w:rsidR="1F4FFDA3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15</w:t>
            </w:r>
            <w:r w:rsidRPr="1F4FFDA3" w:rsidR="1F4FFDA3">
              <w:rPr>
                <w:rFonts w:ascii="Calibri" w:hAnsi="Calibri" w:cs="Calibri" w:asciiTheme="majorAscii" w:hAnsiTheme="majorAscii" w:cstheme="majorAscii"/>
                <w:sz w:val="22"/>
                <w:szCs w:val="22"/>
                <w:vertAlign w:val="superscript"/>
              </w:rPr>
              <w:t>th</w:t>
            </w:r>
            <w:r w:rsidRPr="1F4FFDA3" w:rsidR="1F4FFDA3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 xml:space="preserve"> each month</w:t>
            </w:r>
          </w:p>
        </w:tc>
      </w:tr>
      <w:tr w:rsidRPr="00BD77F3" w:rsidR="00E13804" w:rsidTr="1F4FFDA3" w14:paraId="7B9363CA" w14:textId="00A30DC2">
        <w:trPr/>
        <w:tc>
          <w:tcPr>
            <w:tcW w:w="0" w:type="auto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804" w:rsidP="00897D0C" w:rsidRDefault="00E13804" w14:paraId="334DF0B0" w14:textId="4679CDA6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Quarterly Financial </w:t>
            </w: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>Report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</w:p>
          <w:p w:rsidRPr="00273388" w:rsidR="00E13804" w:rsidP="005C6CA8" w:rsidRDefault="00E13804" w14:paraId="05212226" w14:textId="77777777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Narrative report summarizing:</w:t>
            </w:r>
          </w:p>
          <w:p w:rsidRPr="00273388" w:rsidR="00E13804" w:rsidP="002A2B76" w:rsidRDefault="00E13804" w14:paraId="46523C23" w14:textId="5428682A">
            <w:pPr>
              <w:pStyle w:val="ListParagraph"/>
              <w:numPr>
                <w:ilvl w:val="1"/>
                <w:numId w:val="11"/>
              </w:numPr>
              <w:ind w:left="924" w:hanging="357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273388">
              <w:rPr>
                <w:rFonts w:asciiTheme="majorHAnsi" w:hAnsiTheme="majorHAnsi" w:cstheme="majorHAnsi"/>
                <w:sz w:val="22"/>
              </w:rPr>
              <w:t xml:space="preserve">income, expenditure and cash balances for WRP </w:t>
            </w:r>
            <w:proofErr w:type="spellStart"/>
            <w:r>
              <w:rPr>
                <w:rFonts w:asciiTheme="majorHAnsi" w:hAnsiTheme="majorHAnsi" w:cstheme="majorHAnsi"/>
                <w:sz w:val="22"/>
              </w:rPr>
              <w:t>analysed</w:t>
            </w:r>
            <w:proofErr w:type="spellEnd"/>
            <w:r>
              <w:rPr>
                <w:rFonts w:asciiTheme="majorHAnsi" w:hAnsiTheme="majorHAnsi" w:cstheme="majorHAnsi"/>
                <w:sz w:val="22"/>
              </w:rPr>
              <w:t xml:space="preserve"> by WRP </w:t>
            </w:r>
            <w:r w:rsidRPr="00273388">
              <w:rPr>
                <w:rFonts w:asciiTheme="majorHAnsi" w:hAnsiTheme="majorHAnsi" w:cstheme="majorHAnsi"/>
                <w:sz w:val="22"/>
              </w:rPr>
              <w:t>Pooled Fund, Ringfenced Funding and Flexi-fund</w:t>
            </w:r>
            <w:r>
              <w:rPr>
                <w:rFonts w:asciiTheme="majorHAnsi" w:hAnsiTheme="majorHAnsi" w:cstheme="majorHAnsi"/>
                <w:sz w:val="22"/>
              </w:rPr>
              <w:t xml:space="preserve"> and </w:t>
            </w:r>
            <w:proofErr w:type="spellStart"/>
            <w:r>
              <w:rPr>
                <w:rFonts w:asciiTheme="majorHAnsi" w:hAnsiTheme="majorHAnsi" w:cstheme="majorHAnsi"/>
                <w:sz w:val="22"/>
              </w:rPr>
              <w:t>programme</w:t>
            </w:r>
            <w:proofErr w:type="spellEnd"/>
            <w:r>
              <w:rPr>
                <w:rFonts w:asciiTheme="majorHAnsi" w:hAnsiTheme="majorHAnsi" w:cstheme="majorHAnsi"/>
                <w:sz w:val="22"/>
              </w:rPr>
              <w:t xml:space="preserve"> area for the quarter and for year to date</w:t>
            </w:r>
          </w:p>
          <w:p w:rsidRPr="00273388" w:rsidR="00E13804" w:rsidP="002A2B76" w:rsidRDefault="00E13804" w14:paraId="16BB77DA" w14:textId="1E0B1FFD">
            <w:pPr>
              <w:pStyle w:val="ListParagraph"/>
              <w:numPr>
                <w:ilvl w:val="1"/>
                <w:numId w:val="11"/>
              </w:numPr>
              <w:ind w:left="924" w:hanging="357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cash flow forecast for remainder of year</w:t>
            </w:r>
          </w:p>
          <w:p w:rsidRPr="002A2B76" w:rsidR="00E13804" w:rsidP="002A2B76" w:rsidRDefault="00E13804" w14:paraId="2E77CF8E" w14:textId="6A05FBCC">
            <w:pPr>
              <w:pStyle w:val="ListParagraph"/>
              <w:numPr>
                <w:ilvl w:val="1"/>
                <w:numId w:val="11"/>
              </w:numPr>
              <w:ind w:left="924" w:hanging="357"/>
              <w:rPr>
                <w:rFonts w:asciiTheme="majorHAnsi" w:hAnsiTheme="majorHAnsi" w:cstheme="majorHAnsi"/>
                <w:sz w:val="22"/>
              </w:rPr>
            </w:pPr>
            <w:r w:rsidRPr="00273388">
              <w:rPr>
                <w:rFonts w:asciiTheme="majorHAnsi" w:hAnsiTheme="majorHAnsi" w:cstheme="majorHAnsi"/>
                <w:sz w:val="22"/>
              </w:rPr>
              <w:t>proposed changes to the agreed budget</w:t>
            </w:r>
            <w:r>
              <w:rPr>
                <w:rFonts w:asciiTheme="majorHAnsi" w:hAnsiTheme="majorHAnsi" w:cstheme="majorHAnsi"/>
                <w:sz w:val="22"/>
              </w:rPr>
              <w:t xml:space="preserve"> (and impact on delivery)</w:t>
            </w:r>
          </w:p>
          <w:p w:rsidRPr="00273388" w:rsidR="00E13804" w:rsidP="00273388" w:rsidRDefault="00E13804" w14:paraId="224EEDDD" w14:textId="6321F222">
            <w:pPr>
              <w:pStyle w:val="ListParagraph"/>
              <w:numPr>
                <w:ilvl w:val="1"/>
                <w:numId w:val="11"/>
              </w:numPr>
              <w:ind w:left="924" w:hanging="357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new funding and any other key financial developments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</w:tcPr>
          <w:p w:rsidRPr="00BD77F3" w:rsidR="00E13804" w:rsidP="00E13804" w:rsidRDefault="00E13804" w14:paraId="5EC1FF45" w14:textId="0B6A4401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536AD6D4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44C057E9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1EA226AD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1DFA5711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4B4BA340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0778434B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0C89A37A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55C0BD81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="00E13804" w:rsidP="00897D0C" w:rsidRDefault="00E13804" w14:paraId="691D2C43" w14:textId="77777777">
            <w:pPr>
              <w:rPr>
                <w:rFonts w:asciiTheme="majorHAnsi" w:hAnsiTheme="majorHAnsi" w:cstheme="majorHAnsi"/>
                <w:sz w:val="22"/>
              </w:rPr>
            </w:pPr>
          </w:p>
          <w:p w:rsidRPr="00BD77F3" w:rsidR="00E13804" w:rsidP="00897D0C" w:rsidRDefault="00E13804" w14:paraId="21F957C5" w14:textId="280529B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Steering Committee</w:t>
            </w:r>
          </w:p>
          <w:p w:rsidRPr="00BD77F3" w:rsidR="00E13804" w:rsidP="00897D0C" w:rsidRDefault="00E13804" w14:paraId="00192767" w14:textId="580C56D5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7C19C0F3" w14:textId="06BF8F3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21</w:t>
            </w:r>
            <w:r w:rsidRPr="00155CDB">
              <w:rPr>
                <w:rFonts w:asciiTheme="majorHAnsi" w:hAnsiTheme="majorHAnsi" w:cstheme="majorHAnsi"/>
                <w:sz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2"/>
              </w:rPr>
              <w:t xml:space="preserve"> of month after end of the quarter (except where timing coincides with Steering Committee Reporting)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0A536F39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Pr="00BD77F3" w:rsidR="00E13804" w:rsidTr="1F4FFDA3" w14:paraId="43C55B7C" w14:textId="59531376">
        <w:trPr/>
        <w:tc>
          <w:tcPr>
            <w:tcW w:w="0" w:type="auto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804" w:rsidP="00897D0C" w:rsidRDefault="00E13804" w14:paraId="4E4BAEFD" w14:textId="2AC1D4CE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>Six-monthly Report (Jan-June)</w:t>
            </w:r>
          </w:p>
          <w:p w:rsidR="00E13804" w:rsidP="00897D0C" w:rsidRDefault="00E13804" w14:paraId="2E856269" w14:textId="77777777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Pr="003A2764" w:rsidR="00E13804" w:rsidP="005C6CA8" w:rsidRDefault="00E13804" w14:paraId="0E4AD035" w14:textId="57AA6B65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 w:rsidRPr="003A2764">
              <w:rPr>
                <w:rFonts w:asciiTheme="majorHAnsi" w:hAnsiTheme="majorHAnsi" w:cstheme="majorHAnsi"/>
                <w:sz w:val="22"/>
              </w:rPr>
              <w:t>Progress Update</w:t>
            </w:r>
            <w:r>
              <w:rPr>
                <w:rFonts w:asciiTheme="majorHAnsi" w:hAnsiTheme="majorHAnsi" w:cstheme="majorHAnsi"/>
                <w:sz w:val="22"/>
              </w:rPr>
              <w:t xml:space="preserve"> (against KRAs)</w:t>
            </w:r>
          </w:p>
          <w:p w:rsidR="00E13804" w:rsidP="00273388" w:rsidRDefault="00E13804" w14:paraId="06E9D512" w14:textId="20BCDA39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Q2 Financial Report (same as Quarterly Financial Report above)</w:t>
            </w:r>
          </w:p>
          <w:p w:rsidRPr="00273388" w:rsidR="00E13804" w:rsidP="00273388" w:rsidRDefault="00E13804" w14:paraId="16AD0AFF" w14:textId="361962A3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 w:rsidRPr="00273388">
              <w:rPr>
                <w:rFonts w:asciiTheme="majorHAnsi" w:hAnsiTheme="majorHAnsi" w:cstheme="majorHAnsi"/>
                <w:sz w:val="22"/>
              </w:rPr>
              <w:t>Safeguards, GEDSI and sustainability reporting</w:t>
            </w:r>
          </w:p>
          <w:p w:rsidRPr="003A2764" w:rsidR="00E13804" w:rsidP="005C6CA8" w:rsidRDefault="00E13804" w14:paraId="66B79956" w14:textId="7B85F896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Asset and inventory reporting</w:t>
            </w:r>
          </w:p>
          <w:p w:rsidRPr="003A2764" w:rsidR="00E13804" w:rsidP="005C6CA8" w:rsidRDefault="00E13804" w14:paraId="3496C591" w14:textId="261966D3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 w:rsidRPr="003A2764">
              <w:rPr>
                <w:rFonts w:asciiTheme="majorHAnsi" w:hAnsiTheme="majorHAnsi" w:cstheme="majorHAnsi"/>
                <w:sz w:val="22"/>
              </w:rPr>
              <w:t>Risk</w:t>
            </w:r>
            <w:r>
              <w:rPr>
                <w:rFonts w:asciiTheme="majorHAnsi" w:hAnsiTheme="majorHAnsi" w:cstheme="majorHAnsi"/>
                <w:sz w:val="22"/>
              </w:rPr>
              <w:t>s, Fraud and Compliance (including any update on incident reports)</w:t>
            </w:r>
          </w:p>
          <w:p w:rsidRPr="003A2764" w:rsidR="00E13804" w:rsidP="005C6CA8" w:rsidRDefault="00E13804" w14:paraId="606827E7" w14:textId="5492EAD4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 w:rsidRPr="003A2764">
              <w:rPr>
                <w:rFonts w:asciiTheme="majorHAnsi" w:hAnsiTheme="majorHAnsi" w:cstheme="majorHAnsi"/>
                <w:sz w:val="22"/>
              </w:rPr>
              <w:t>MERL Update</w:t>
            </w:r>
          </w:p>
        </w:tc>
        <w:tc>
          <w:tcPr>
            <w:tcW w:w="0" w:type="auto"/>
            <w:vMerge/>
            <w:tcMar/>
          </w:tcPr>
          <w:p w:rsidRPr="00BD77F3" w:rsidR="00E13804" w:rsidP="00897D0C" w:rsidRDefault="00E13804" w14:paraId="619EE91C" w14:textId="6D760C1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062532A8" w14:textId="2C590767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 weeks before Steering Committee Meeting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631E7E04" w14:textId="7F663B85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Variable</w:t>
            </w:r>
          </w:p>
        </w:tc>
      </w:tr>
      <w:tr w:rsidRPr="00BD77F3" w:rsidR="00E13804" w:rsidTr="1F4FFDA3" w14:paraId="2EE579FF" w14:textId="1129A8DE">
        <w:trPr/>
        <w:tc>
          <w:tcPr>
            <w:tcW w:w="0" w:type="auto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804" w:rsidP="00897D0C" w:rsidRDefault="00E13804" w14:paraId="76CD644A" w14:textId="4963D4DC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>Annual Report (Jan – December)</w:t>
            </w:r>
          </w:p>
          <w:p w:rsidR="00E13804" w:rsidP="00897D0C" w:rsidRDefault="00E13804" w14:paraId="0DDBCAF3" w14:textId="77777777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E13804" w:rsidP="00D32D9B" w:rsidRDefault="00E13804" w14:paraId="35DD09BE" w14:textId="47F89B9B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Annual Achievements (against KRAs)</w:t>
            </w:r>
          </w:p>
          <w:p w:rsidR="00E13804" w:rsidP="00D32D9B" w:rsidRDefault="00E13804" w14:paraId="13EC82BC" w14:textId="6AB07067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Progress Update</w:t>
            </w:r>
          </w:p>
          <w:p w:rsidR="00E13804" w:rsidP="00D32D9B" w:rsidRDefault="00E13804" w14:paraId="2051E5B1" w14:textId="20D4BFBA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Safeguards, GEDSI and sustainability reporting</w:t>
            </w:r>
          </w:p>
          <w:p w:rsidR="00E13804" w:rsidP="00D32D9B" w:rsidRDefault="00E13804" w14:paraId="6E1015F6" w14:textId="3AD8E2E3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MERL Update</w:t>
            </w:r>
          </w:p>
          <w:p w:rsidR="00E13804" w:rsidP="00D32D9B" w:rsidRDefault="00E13804" w14:paraId="6097378F" w14:textId="247C4E1B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Partnership/Stakeholder Update</w:t>
            </w:r>
          </w:p>
          <w:p w:rsidR="00E13804" w:rsidP="00D32D9B" w:rsidRDefault="00E13804" w14:paraId="0F1D04FD" w14:textId="424AE4BF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Lessons Learned/Challenges</w:t>
            </w:r>
          </w:p>
          <w:p w:rsidR="00E13804" w:rsidP="00D32D9B" w:rsidRDefault="00E13804" w14:paraId="2B011D51" w14:textId="5E8F09AC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lastRenderedPageBreak/>
              <w:t>Risks and Opportunities</w:t>
            </w:r>
          </w:p>
          <w:p w:rsidRPr="00273388" w:rsidR="00E13804" w:rsidP="00897D0C" w:rsidRDefault="00E13804" w14:paraId="4057D3DB" w14:textId="27879F70">
            <w:pPr>
              <w:pStyle w:val="ListParagraph"/>
              <w:numPr>
                <w:ilvl w:val="0"/>
                <w:numId w:val="11"/>
              </w:numPr>
              <w:ind w:left="513" w:hanging="283"/>
              <w:rPr>
                <w:rFonts w:asciiTheme="majorHAnsi" w:hAnsiTheme="majorHAnsi" w:cstheme="majorHAnsi"/>
                <w:sz w:val="22"/>
              </w:rPr>
            </w:pPr>
            <w:r w:rsidRPr="00273388">
              <w:rPr>
                <w:rFonts w:asciiTheme="majorHAnsi" w:hAnsiTheme="majorHAnsi" w:cstheme="majorHAnsi"/>
                <w:sz w:val="22"/>
              </w:rPr>
              <w:t>Audited Financial Statements for WRP (WRP Pooled Fund, Flexi-fund, Ringfenced Funding) + audit opinion</w:t>
            </w:r>
          </w:p>
          <w:p w:rsidRPr="00BD77F3" w:rsidR="00E13804" w:rsidP="00897D0C" w:rsidRDefault="00E13804" w14:paraId="05536C82" w14:textId="027912C6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BD77F3" w:rsidR="00E13804" w:rsidP="00897D0C" w:rsidRDefault="00E13804" w14:paraId="4B3A3EF0" w14:textId="1BA2DF59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2E9FE1A0" w14:textId="6CBB0E00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 weeks before Steering Committee Meeting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064003F3" w14:textId="2C92A8EE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Variable</w:t>
            </w:r>
          </w:p>
        </w:tc>
      </w:tr>
      <w:tr w:rsidRPr="00BD77F3" w:rsidR="00E13804" w:rsidTr="1F4FFDA3" w14:paraId="628A9B10" w14:textId="381A3691">
        <w:trPr/>
        <w:tc>
          <w:tcPr>
            <w:tcW w:w="0" w:type="auto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E13804" w:rsidP="00897D0C" w:rsidRDefault="00E13804" w14:paraId="1F351A6F" w14:textId="5C1611CA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Information required to drawdown WRP </w:t>
            </w: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 xml:space="preserve">Donor 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>f</w:t>
            </w: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>unding</w:t>
            </w:r>
          </w:p>
        </w:tc>
        <w:tc>
          <w:tcPr>
            <w:tcW w:w="0" w:type="auto"/>
            <w:vMerge/>
            <w:tcMar/>
          </w:tcPr>
          <w:p w:rsidRPr="00BD77F3" w:rsidR="00E13804" w:rsidP="00897D0C" w:rsidRDefault="00E13804" w14:paraId="35D1BF04" w14:textId="4162914E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2CEA54A1" w14:textId="533C32E9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Set out in WRP Donor funding instrument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="00E13804" w:rsidP="00897D0C" w:rsidRDefault="00E13804" w14:paraId="60AC30A4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Pr="00BD77F3" w:rsidR="00E13804" w:rsidTr="1F4FFDA3" w14:paraId="6A69A3AE" w14:textId="4159831C">
        <w:trPr/>
        <w:tc>
          <w:tcPr>
            <w:tcW w:w="0" w:type="auto"/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E13804" w:rsidP="00897D0C" w:rsidRDefault="00E13804" w14:paraId="7A6BAE7E" w14:textId="3DAC8C82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>Immediate notification of fraud, misuse, serious irregularity, safeguarding and ESS issues and any circumstance threatening implementation</w:t>
            </w:r>
          </w:p>
        </w:tc>
        <w:tc>
          <w:tcPr>
            <w:tcW w:w="0" w:type="auto"/>
            <w:vMerge/>
            <w:tcMar/>
          </w:tcPr>
          <w:p w:rsidRPr="00BD77F3" w:rsidR="00E13804" w:rsidP="00897D0C" w:rsidRDefault="00E13804" w14:paraId="0726F64E" w14:textId="055BB4F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/>
          </w:tcPr>
          <w:p w:rsidRPr="00BD77F3" w:rsidR="00E13804" w:rsidP="00897D0C" w:rsidRDefault="00E13804" w14:paraId="638D5ABB" w14:textId="58790EE8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Within 48 hours of SPREP becoming aware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="00E13804" w:rsidP="00897D0C" w:rsidRDefault="00E13804" w14:paraId="2207A03E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Pr="00BD77F3" w:rsidR="00E13804" w:rsidTr="1F4FFDA3" w14:paraId="190F026D" w14:textId="7D1F2B27">
        <w:trPr/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Pr="00BD77F3" w:rsidR="00E13804" w:rsidP="00897D0C" w:rsidRDefault="00E13804" w14:paraId="4CBA5BDD" w14:textId="7CD63925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D77F3">
              <w:rPr>
                <w:rFonts w:asciiTheme="majorHAnsi" w:hAnsiTheme="majorHAnsi" w:cstheme="majorHAnsi"/>
                <w:b/>
                <w:bCs/>
                <w:sz w:val="22"/>
              </w:rPr>
              <w:t>Visibility, branding and public transparency</w:t>
            </w:r>
          </w:p>
        </w:tc>
        <w:tc>
          <w:tcPr>
            <w:tcW w:w="0" w:type="auto"/>
            <w:vMerge/>
            <w:tcMar/>
          </w:tcPr>
          <w:p w:rsidRPr="00BD77F3" w:rsidR="00E13804" w:rsidP="00897D0C" w:rsidRDefault="00E13804" w14:paraId="194CCA74" w14:textId="429532A4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tcMar/>
          </w:tcPr>
          <w:p w:rsidRPr="00BD77F3" w:rsidR="00E13804" w:rsidP="00897D0C" w:rsidRDefault="00E13804" w14:paraId="1BE83ED9" w14:textId="7DE50072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In accordance with WRP communications [and disclosure] policy. </w:t>
            </w:r>
          </w:p>
        </w:tc>
        <w:tc>
          <w:tcPr>
            <w:tcW w:w="0" w:type="auto"/>
            <w:tcMar/>
          </w:tcPr>
          <w:p w:rsidR="00E13804" w:rsidP="00897D0C" w:rsidRDefault="00E13804" w14:paraId="2FC77892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Pr="00BD77F3" w:rsidR="006A6B15" w:rsidRDefault="006A6B15" w14:paraId="6FDCD38E" w14:textId="77777777">
      <w:pPr>
        <w:rPr>
          <w:rFonts w:asciiTheme="majorHAnsi" w:hAnsiTheme="majorHAnsi" w:cstheme="majorHAnsi"/>
          <w:sz w:val="22"/>
        </w:rPr>
      </w:pPr>
    </w:p>
    <w:sectPr w:rsidRPr="00BD77F3" w:rsidR="006A6B15" w:rsidSect="007F1CF2">
      <w:footerReference w:type="default" r:id="rId11"/>
      <w:pgSz w:w="12240" w:h="15840" w:orient="portrait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8A6" w:rsidP="005A3164" w:rsidRDefault="003818A6" w14:paraId="355D262E" w14:textId="77777777">
      <w:r>
        <w:separator/>
      </w:r>
    </w:p>
  </w:endnote>
  <w:endnote w:type="continuationSeparator" w:id="0">
    <w:p w:rsidR="003818A6" w:rsidP="005A3164" w:rsidRDefault="003818A6" w14:paraId="6090FE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618205"/>
      <w:docPartObj>
        <w:docPartGallery w:val="Page Numbers (Bottom of Page)"/>
        <w:docPartUnique/>
      </w:docPartObj>
    </w:sdtPr>
    <w:sdtEndPr/>
    <w:sdtContent>
      <w:p w:rsidR="005A3164" w:rsidRDefault="005A3164" w14:paraId="050B8D2C" w14:textId="453197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:rsidR="005A3164" w:rsidRDefault="005A3164" w14:paraId="620608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8A6" w:rsidP="005A3164" w:rsidRDefault="003818A6" w14:paraId="530EE93E" w14:textId="77777777">
      <w:r>
        <w:separator/>
      </w:r>
    </w:p>
  </w:footnote>
  <w:footnote w:type="continuationSeparator" w:id="0">
    <w:p w:rsidR="003818A6" w:rsidP="005A3164" w:rsidRDefault="003818A6" w14:paraId="4D348F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65A6156"/>
    <w:multiLevelType w:val="hybridMultilevel"/>
    <w:tmpl w:val="CE424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A1596"/>
    <w:multiLevelType w:val="hybridMultilevel"/>
    <w:tmpl w:val="9BAEC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120192">
    <w:abstractNumId w:val="8"/>
  </w:num>
  <w:num w:numId="2" w16cid:durableId="1264805655">
    <w:abstractNumId w:val="6"/>
  </w:num>
  <w:num w:numId="3" w16cid:durableId="1796829825">
    <w:abstractNumId w:val="5"/>
  </w:num>
  <w:num w:numId="4" w16cid:durableId="37975440">
    <w:abstractNumId w:val="4"/>
  </w:num>
  <w:num w:numId="5" w16cid:durableId="271061989">
    <w:abstractNumId w:val="7"/>
  </w:num>
  <w:num w:numId="6" w16cid:durableId="119804388">
    <w:abstractNumId w:val="3"/>
  </w:num>
  <w:num w:numId="7" w16cid:durableId="955714679">
    <w:abstractNumId w:val="2"/>
  </w:num>
  <w:num w:numId="8" w16cid:durableId="1352223843">
    <w:abstractNumId w:val="1"/>
  </w:num>
  <w:num w:numId="9" w16cid:durableId="1874533454">
    <w:abstractNumId w:val="0"/>
  </w:num>
  <w:num w:numId="10" w16cid:durableId="1771855602">
    <w:abstractNumId w:val="9"/>
  </w:num>
  <w:num w:numId="11" w16cid:durableId="421340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A88"/>
    <w:rsid w:val="00021D3D"/>
    <w:rsid w:val="00022AEE"/>
    <w:rsid w:val="00034616"/>
    <w:rsid w:val="0006063C"/>
    <w:rsid w:val="000674B0"/>
    <w:rsid w:val="000773A4"/>
    <w:rsid w:val="000A5CCD"/>
    <w:rsid w:val="000E08E0"/>
    <w:rsid w:val="001156AD"/>
    <w:rsid w:val="001210C3"/>
    <w:rsid w:val="00125DDA"/>
    <w:rsid w:val="00142167"/>
    <w:rsid w:val="0015074B"/>
    <w:rsid w:val="00155CDB"/>
    <w:rsid w:val="0016060E"/>
    <w:rsid w:val="00172A20"/>
    <w:rsid w:val="00273388"/>
    <w:rsid w:val="002751C2"/>
    <w:rsid w:val="002939FA"/>
    <w:rsid w:val="0029639D"/>
    <w:rsid w:val="002A2B76"/>
    <w:rsid w:val="002C48F5"/>
    <w:rsid w:val="002C5668"/>
    <w:rsid w:val="002C642A"/>
    <w:rsid w:val="002F45EC"/>
    <w:rsid w:val="00301CA3"/>
    <w:rsid w:val="00324C0A"/>
    <w:rsid w:val="00326F90"/>
    <w:rsid w:val="00353422"/>
    <w:rsid w:val="00362A4F"/>
    <w:rsid w:val="003818A6"/>
    <w:rsid w:val="00384A9B"/>
    <w:rsid w:val="003869BE"/>
    <w:rsid w:val="003951F6"/>
    <w:rsid w:val="003977F6"/>
    <w:rsid w:val="003A2764"/>
    <w:rsid w:val="00405711"/>
    <w:rsid w:val="00421C41"/>
    <w:rsid w:val="00440183"/>
    <w:rsid w:val="004C6CF2"/>
    <w:rsid w:val="005141AA"/>
    <w:rsid w:val="00524BCC"/>
    <w:rsid w:val="00537B4B"/>
    <w:rsid w:val="00544D24"/>
    <w:rsid w:val="00547E9F"/>
    <w:rsid w:val="005558D1"/>
    <w:rsid w:val="005614D6"/>
    <w:rsid w:val="005816D5"/>
    <w:rsid w:val="00582998"/>
    <w:rsid w:val="00584D3A"/>
    <w:rsid w:val="00594D9A"/>
    <w:rsid w:val="005A3164"/>
    <w:rsid w:val="005A3455"/>
    <w:rsid w:val="005A34B8"/>
    <w:rsid w:val="005C6CA8"/>
    <w:rsid w:val="005D2EAB"/>
    <w:rsid w:val="005E3D9F"/>
    <w:rsid w:val="005E534F"/>
    <w:rsid w:val="0062296D"/>
    <w:rsid w:val="00623048"/>
    <w:rsid w:val="00625EA0"/>
    <w:rsid w:val="00634352"/>
    <w:rsid w:val="006427B5"/>
    <w:rsid w:val="00647026"/>
    <w:rsid w:val="006500FE"/>
    <w:rsid w:val="00670AC8"/>
    <w:rsid w:val="006A0038"/>
    <w:rsid w:val="006A0ABF"/>
    <w:rsid w:val="006A2B41"/>
    <w:rsid w:val="006A6B15"/>
    <w:rsid w:val="006F4083"/>
    <w:rsid w:val="00706FC3"/>
    <w:rsid w:val="00733577"/>
    <w:rsid w:val="00736CC7"/>
    <w:rsid w:val="007412F4"/>
    <w:rsid w:val="007541B2"/>
    <w:rsid w:val="00777A59"/>
    <w:rsid w:val="007E393D"/>
    <w:rsid w:val="007F1CF2"/>
    <w:rsid w:val="00814113"/>
    <w:rsid w:val="008449FE"/>
    <w:rsid w:val="008456A0"/>
    <w:rsid w:val="00847393"/>
    <w:rsid w:val="00871D04"/>
    <w:rsid w:val="00874BB4"/>
    <w:rsid w:val="00876ABE"/>
    <w:rsid w:val="00896EAD"/>
    <w:rsid w:val="00897D0C"/>
    <w:rsid w:val="008A6451"/>
    <w:rsid w:val="008C5F0C"/>
    <w:rsid w:val="008E2A68"/>
    <w:rsid w:val="00956000"/>
    <w:rsid w:val="00963219"/>
    <w:rsid w:val="00967B44"/>
    <w:rsid w:val="009B20B3"/>
    <w:rsid w:val="009B57DD"/>
    <w:rsid w:val="009E8BA3"/>
    <w:rsid w:val="00A12100"/>
    <w:rsid w:val="00A2634C"/>
    <w:rsid w:val="00A31DC5"/>
    <w:rsid w:val="00A93D03"/>
    <w:rsid w:val="00AA1D8D"/>
    <w:rsid w:val="00AC17F5"/>
    <w:rsid w:val="00AE4EB3"/>
    <w:rsid w:val="00B01CB5"/>
    <w:rsid w:val="00B07683"/>
    <w:rsid w:val="00B34AB1"/>
    <w:rsid w:val="00B47730"/>
    <w:rsid w:val="00B500DA"/>
    <w:rsid w:val="00B71664"/>
    <w:rsid w:val="00BA6563"/>
    <w:rsid w:val="00BD77F3"/>
    <w:rsid w:val="00BF7922"/>
    <w:rsid w:val="00C06B26"/>
    <w:rsid w:val="00C50090"/>
    <w:rsid w:val="00C5388B"/>
    <w:rsid w:val="00CA3A32"/>
    <w:rsid w:val="00CB0664"/>
    <w:rsid w:val="00CC0438"/>
    <w:rsid w:val="00CE22BA"/>
    <w:rsid w:val="00D171E7"/>
    <w:rsid w:val="00D32D9B"/>
    <w:rsid w:val="00D33AF5"/>
    <w:rsid w:val="00D73194"/>
    <w:rsid w:val="00D856B5"/>
    <w:rsid w:val="00D96FCD"/>
    <w:rsid w:val="00DC3DCC"/>
    <w:rsid w:val="00DD6EB5"/>
    <w:rsid w:val="00E03978"/>
    <w:rsid w:val="00E13804"/>
    <w:rsid w:val="00E4560C"/>
    <w:rsid w:val="00E525FA"/>
    <w:rsid w:val="00E85756"/>
    <w:rsid w:val="00EB6588"/>
    <w:rsid w:val="00ED59FD"/>
    <w:rsid w:val="00EF7B49"/>
    <w:rsid w:val="00F00A25"/>
    <w:rsid w:val="00F40BF2"/>
    <w:rsid w:val="00F5515F"/>
    <w:rsid w:val="00F62091"/>
    <w:rsid w:val="00F7092B"/>
    <w:rsid w:val="00FA174C"/>
    <w:rsid w:val="00FA3020"/>
    <w:rsid w:val="00FB70D4"/>
    <w:rsid w:val="00FC693F"/>
    <w:rsid w:val="00FE7BA2"/>
    <w:rsid w:val="00FF3622"/>
    <w:rsid w:val="0CD014FF"/>
    <w:rsid w:val="1F4FFDA3"/>
    <w:rsid w:val="230FD922"/>
    <w:rsid w:val="2CB68604"/>
    <w:rsid w:val="2DE235BE"/>
    <w:rsid w:val="2DE235BE"/>
    <w:rsid w:val="2FA5BBDF"/>
    <w:rsid w:val="38F6F805"/>
    <w:rsid w:val="38F6F805"/>
    <w:rsid w:val="3AA72062"/>
    <w:rsid w:val="3B6DA314"/>
    <w:rsid w:val="5351C927"/>
    <w:rsid w:val="53DC92B1"/>
    <w:rsid w:val="57063ABA"/>
    <w:rsid w:val="5A6D3FE0"/>
    <w:rsid w:val="6701DF81"/>
    <w:rsid w:val="716CB153"/>
    <w:rsid w:val="78019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2A16B"/>
  <w14:defaultImageDpi w14:val="300"/>
  <w15:docId w15:val="{430DC063-793C-490C-924C-3B59E2FF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spacing w:after="0" w:line="240" w:lineRule="auto"/>
    </w:pPr>
    <w:rPr>
      <w:rFonts w:ascii="Aptos" w:hAnsi="Aptos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AB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6ABE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6ABE"/>
    <w:rPr>
      <w:rFonts w:ascii="Aptos" w:hAnsi="Apto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5DDA"/>
    <w:pPr>
      <w:spacing w:after="0" w:line="240" w:lineRule="auto"/>
    </w:pPr>
    <w:rPr>
      <w:rFonts w:ascii="Aptos" w:hAnsi="Apto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DC0AE-83AB-43AB-B70B-267E8C8D6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471D7-AA7F-4C3F-95E5-F07C2F77E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C7581-1B4D-450F-ACF9-36D0DD5B46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diane.harris@mdy.co.uk</lastModifiedBy>
  <revision>5</revision>
  <lastPrinted>2026-04-01T07:19:00.0000000Z</lastPrinted>
  <dcterms:created xsi:type="dcterms:W3CDTF">2026-05-07T07:43:00.0000000Z</dcterms:created>
  <dcterms:modified xsi:type="dcterms:W3CDTF">2026-05-14T22:33:04.0988327Z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