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94F2B" w:rsidRDefault="00A92CC7" w14:paraId="4D3F3AF7" w14:textId="037CCF0B">
      <w:r>
        <w:rPr>
          <w:noProof/>
        </w:rPr>
        <w:drawing>
          <wp:anchor distT="0" distB="0" distL="114300" distR="114300" simplePos="0" relativeHeight="251659264" behindDoc="0" locked="0" layoutInCell="1" allowOverlap="1" wp14:anchorId="661F9769" wp14:editId="72BDEB82">
            <wp:simplePos x="0" y="0"/>
            <wp:positionH relativeFrom="page">
              <wp:align>right</wp:align>
            </wp:positionH>
            <wp:positionV relativeFrom="paragraph">
              <wp:posOffset>-908050</wp:posOffset>
            </wp:positionV>
            <wp:extent cx="7626350" cy="1428750"/>
            <wp:effectExtent l="0" t="0" r="0" b="0"/>
            <wp:wrapNone/>
            <wp:docPr id="8" name="Picture 1" descr="A white surface with a pin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white surface with a pin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B2C" w:rsidRDefault="002D7B2C" w14:paraId="27D53FA9" w14:textId="77777777"/>
    <w:p w:rsidR="002D7B2C" w:rsidRDefault="002D7B2C" w14:paraId="599C3F14" w14:textId="77777777"/>
    <w:p w:rsidR="002D7B2C" w:rsidRDefault="002D7B2C" w14:paraId="050D5D62" w14:textId="77777777"/>
    <w:p w:rsidRPr="00A92CC7" w:rsidR="002D7B2C" w:rsidP="002D7B2C" w:rsidRDefault="00A92CC7" w14:paraId="2BA79EA5" w14:textId="6E32B5CF">
      <w:pPr>
        <w:rPr>
          <w:rFonts w:asciiTheme="minorHAnsi" w:hAnsiTheme="minorHAnsi" w:eastAsiaTheme="minorEastAsia" w:cstheme="minorBidi"/>
          <w:b/>
          <w:bCs/>
          <w:lang w:eastAsia="en-US"/>
        </w:rPr>
      </w:pPr>
      <w:r w:rsidRPr="00A92CC7">
        <w:rPr>
          <w:rFonts w:asciiTheme="minorHAnsi" w:hAnsiTheme="minorHAnsi" w:eastAsiaTheme="minorEastAsia" w:cstheme="minorBidi"/>
          <w:b/>
          <w:bCs/>
          <w:lang w:eastAsia="en-US"/>
        </w:rPr>
        <w:t>Annexure Four: Evaluation Terms of Reference</w:t>
      </w:r>
    </w:p>
    <w:p w:rsidR="00A92CC7" w:rsidP="002D7B2C" w:rsidRDefault="00A92CC7" w14:paraId="6B46FA04" w14:textId="77777777">
      <w:pPr>
        <w:rPr>
          <w:rFonts w:asciiTheme="minorHAnsi" w:hAnsiTheme="minorHAnsi" w:eastAsiaTheme="minorEastAsia" w:cstheme="minorBidi"/>
          <w:lang w:eastAsia="en-US"/>
        </w:rPr>
      </w:pPr>
    </w:p>
    <w:p w:rsidR="00A92CC7" w:rsidP="002D7B2C" w:rsidRDefault="00A92CC7" w14:paraId="4B8D4EB8" w14:textId="1E8C6D4E">
      <w:pPr>
        <w:rPr>
          <w:rFonts w:asciiTheme="minorHAnsi" w:hAnsiTheme="minorHAnsi" w:eastAsiaTheme="minorEastAsia" w:cstheme="minorBidi"/>
          <w:lang w:eastAsia="en-US"/>
        </w:rPr>
      </w:pPr>
      <w:r>
        <w:rPr>
          <w:rFonts w:asciiTheme="minorHAnsi" w:hAnsiTheme="minorHAnsi" w:eastAsiaTheme="minorEastAsia" w:cstheme="minorBidi"/>
          <w:lang w:eastAsia="en-US"/>
        </w:rPr>
        <w:t>The following terms of reference relate to WRP’s programmatic evaluations</w:t>
      </w:r>
    </w:p>
    <w:p w:rsidR="00A92CC7" w:rsidP="002D7B2C" w:rsidRDefault="00A92CC7" w14:paraId="0143C673" w14:textId="77777777">
      <w:pPr>
        <w:rPr>
          <w:rFonts w:asciiTheme="minorHAnsi" w:hAnsiTheme="minorHAnsi" w:eastAsiaTheme="minorEastAsia" w:cstheme="minorBidi"/>
          <w:lang w:eastAsia="en-US"/>
        </w:rPr>
      </w:pPr>
    </w:p>
    <w:p w:rsidR="00A92CC7" w:rsidP="002D7B2C" w:rsidRDefault="00A92CC7" w14:paraId="24FD9902" w14:textId="77777777">
      <w:pPr>
        <w:rPr>
          <w:rFonts w:asciiTheme="minorHAnsi" w:hAnsiTheme="minorHAnsi" w:eastAsiaTheme="minorEastAsia" w:cstheme="minorBidi"/>
          <w:lang w:eastAsia="en-US"/>
        </w:rPr>
      </w:pPr>
    </w:p>
    <w:p w:rsidR="00A92CC7" w:rsidP="69EB1F22" w:rsidRDefault="00A92CC7" w14:paraId="17E88282" w14:textId="514989ED">
      <w:pPr>
        <w:rPr>
          <w:rFonts w:ascii="Aptos" w:hAnsi="Aptos" w:eastAsia="" w:cs="" w:asciiTheme="minorAscii" w:hAnsiTheme="minorAscii" w:eastAsiaTheme="minorEastAsia" w:cstheme="minorBidi"/>
          <w:highlight w:val="yellow"/>
          <w:lang w:eastAsia="en-US"/>
        </w:rPr>
      </w:pPr>
      <w:r w:rsidRPr="69EB1F22" w:rsidR="222E3F70">
        <w:rPr>
          <w:rFonts w:ascii="Aptos" w:hAnsi="Aptos" w:eastAsia="" w:cs="" w:asciiTheme="minorAscii" w:hAnsiTheme="minorAscii" w:eastAsiaTheme="minorEastAsia" w:cstheme="minorBidi"/>
          <w:highlight w:val="yellow"/>
          <w:lang w:eastAsia="en-US"/>
        </w:rPr>
        <w:t>Evaluation questions will be different for the different mid-line evaluations.</w:t>
      </w:r>
    </w:p>
    <w:p w:rsidR="00A92CC7" w:rsidP="002D7B2C" w:rsidRDefault="00A92CC7" w14:paraId="2C1A0630" w14:textId="77777777">
      <w:pPr>
        <w:rPr>
          <w:rFonts w:asciiTheme="minorHAnsi" w:hAnsiTheme="minorHAnsi" w:eastAsiaTheme="minorEastAsia" w:cstheme="minorBidi"/>
          <w:lang w:eastAsia="en-US"/>
        </w:rPr>
      </w:pPr>
    </w:p>
    <w:tbl>
      <w:tblPr>
        <w:tblStyle w:val="GridTable5Dark-Accent1"/>
        <w:tblW w:w="0" w:type="auto"/>
        <w:tblInd w:w="118" w:type="dxa"/>
        <w:tblLook w:val="04A0" w:firstRow="1" w:lastRow="0" w:firstColumn="1" w:lastColumn="0" w:noHBand="0" w:noVBand="1"/>
      </w:tblPr>
      <w:tblGrid>
        <w:gridCol w:w="2704"/>
        <w:gridCol w:w="6194"/>
      </w:tblGrid>
      <w:tr w:rsidR="002D7B2C" w:rsidTr="00397C42" w14:paraId="6D5597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Pr="00BB184B" w:rsidR="002D7B2C" w:rsidP="00397C42" w:rsidRDefault="002D7B2C" w14:paraId="587DECF7" w14:textId="77777777">
            <w:pPr>
              <w:ind w:left="0" w:firstLine="0"/>
              <w:jc w:val="left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OECD DAC Evaluation Criteria</w:t>
            </w:r>
          </w:p>
        </w:tc>
        <w:tc>
          <w:tcPr>
            <w:tcW w:w="6757" w:type="dxa"/>
          </w:tcPr>
          <w:p w:rsidRPr="00761BB3" w:rsidR="002D7B2C" w:rsidP="00397C42" w:rsidRDefault="002D7B2C" w14:paraId="71F8B571" w14:textId="7777777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  <w:b w:val="0"/>
                <w:bCs w:val="0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WRP Evaluation Questions</w:t>
            </w:r>
          </w:p>
        </w:tc>
      </w:tr>
      <w:tr w:rsidR="002D7B2C" w:rsidTr="00397C42" w14:paraId="1C7A4C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07A5C9FD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Relevance</w:t>
            </w:r>
          </w:p>
        </w:tc>
        <w:tc>
          <w:tcPr>
            <w:tcW w:w="6757" w:type="dxa"/>
          </w:tcPr>
          <w:p w:rsidR="002D7B2C" w:rsidP="00397C42" w:rsidRDefault="002D7B2C" w14:paraId="7E4296B2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>To what extent are the objectives of the programme consistent with:</w:t>
            </w:r>
          </w:p>
          <w:p w:rsidR="002D7B2C" w:rsidP="00397C42" w:rsidRDefault="002D7B2C" w14:paraId="5B9C15CF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>(</w:t>
            </w:r>
            <w:proofErr w:type="spellStart"/>
            <w:r w:rsidRPr="72D63621">
              <w:rPr>
                <w:rFonts w:asciiTheme="minorHAnsi" w:hAnsiTheme="minorHAnsi" w:eastAsiaTheme="minorEastAsia" w:cstheme="minorBidi"/>
              </w:rPr>
              <w:t>i</w:t>
            </w:r>
            <w:proofErr w:type="spellEnd"/>
            <w:r w:rsidRPr="72D63621">
              <w:rPr>
                <w:rFonts w:asciiTheme="minorHAnsi" w:hAnsiTheme="minorHAnsi" w:eastAsiaTheme="minorEastAsia" w:cstheme="minorBidi"/>
              </w:rPr>
              <w:t xml:space="preserve">) National Meteorological and Hydrological Services’ priorities and polices, </w:t>
            </w:r>
          </w:p>
          <w:p w:rsidR="002D7B2C" w:rsidP="00397C42" w:rsidRDefault="002D7B2C" w14:paraId="0DFD9CD0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 xml:space="preserve">(ii) regional and global priorities/frameworks, (iii) SPREP’s policies, and </w:t>
            </w:r>
          </w:p>
          <w:p w:rsidR="002D7B2C" w:rsidP="00397C42" w:rsidRDefault="002D7B2C" w14:paraId="55759FA4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>(iv) investors strategies?</w:t>
            </w:r>
          </w:p>
        </w:tc>
      </w:tr>
      <w:tr w:rsidR="002D7B2C" w:rsidTr="00397C42" w14:paraId="254332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1ADED9A9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Coherence</w:t>
            </w:r>
          </w:p>
        </w:tc>
        <w:tc>
          <w:tcPr>
            <w:tcW w:w="6757" w:type="dxa"/>
          </w:tcPr>
          <w:p w:rsidR="002D7B2C" w:rsidP="00397C42" w:rsidRDefault="002D7B2C" w14:paraId="7250EA8E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5E95431B">
              <w:rPr>
                <w:rFonts w:asciiTheme="minorHAnsi" w:hAnsiTheme="minorHAnsi" w:eastAsiaTheme="minorEastAsia" w:cstheme="minorBidi"/>
              </w:rPr>
              <w:t xml:space="preserve">To what extent, and how, have the programme’s key result areas and outcomes been achieved and/or are expected to be achieved? </w:t>
            </w:r>
          </w:p>
        </w:tc>
      </w:tr>
      <w:tr w:rsidR="002D7B2C" w:rsidTr="00397C42" w14:paraId="3FE040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1DEEE4B0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Effectiveness</w:t>
            </w:r>
          </w:p>
        </w:tc>
        <w:tc>
          <w:tcPr>
            <w:tcW w:w="6757" w:type="dxa"/>
          </w:tcPr>
          <w:p w:rsidR="002D7B2C" w:rsidP="00397C42" w:rsidRDefault="002D7B2C" w14:paraId="70C7E670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5E95431B">
              <w:rPr>
                <w:rFonts w:asciiTheme="minorHAnsi" w:hAnsiTheme="minorHAnsi" w:eastAsiaTheme="minorEastAsia" w:cstheme="minorBidi"/>
              </w:rPr>
              <w:t>To what extent has the programme been efficient in using its resources and partnerships to achieve its objectives?</w:t>
            </w:r>
          </w:p>
        </w:tc>
      </w:tr>
      <w:tr w:rsidR="002D7B2C" w:rsidTr="00397C42" w14:paraId="0F3BD2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19252099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Efficiency</w:t>
            </w:r>
          </w:p>
        </w:tc>
        <w:tc>
          <w:tcPr>
            <w:tcW w:w="6757" w:type="dxa"/>
          </w:tcPr>
          <w:p w:rsidR="002D7B2C" w:rsidP="00397C42" w:rsidRDefault="002D7B2C" w14:paraId="40605DE8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 xml:space="preserve">To what extent does the programme mutually reinforce or duplicate other meteorological and hydrological activities delivered by: </w:t>
            </w:r>
          </w:p>
          <w:p w:rsidR="002D7B2C" w:rsidP="00397C42" w:rsidRDefault="002D7B2C" w14:paraId="4BFF5C55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>(</w:t>
            </w:r>
            <w:proofErr w:type="spellStart"/>
            <w:r w:rsidRPr="72D63621">
              <w:rPr>
                <w:rFonts w:asciiTheme="minorHAnsi" w:hAnsiTheme="minorHAnsi" w:eastAsiaTheme="minorEastAsia" w:cstheme="minorBidi"/>
              </w:rPr>
              <w:t>i</w:t>
            </w:r>
            <w:proofErr w:type="spellEnd"/>
            <w:r w:rsidRPr="72D63621">
              <w:rPr>
                <w:rFonts w:asciiTheme="minorHAnsi" w:hAnsiTheme="minorHAnsi" w:eastAsiaTheme="minorEastAsia" w:cstheme="minorBidi"/>
              </w:rPr>
              <w:t xml:space="preserve">) country-level governments </w:t>
            </w:r>
          </w:p>
          <w:p w:rsidR="002D7B2C" w:rsidP="00397C42" w:rsidRDefault="002D7B2C" w14:paraId="1E85F48F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 xml:space="preserve">(ii) regional initiatives and frameworks </w:t>
            </w:r>
          </w:p>
          <w:p w:rsidR="002D7B2C" w:rsidP="00397C42" w:rsidRDefault="002D7B2C" w14:paraId="1403D6F6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 xml:space="preserve">(iii) global initiatives and frameworks and </w:t>
            </w:r>
          </w:p>
          <w:p w:rsidR="002D7B2C" w:rsidP="00397C42" w:rsidRDefault="002D7B2C" w14:paraId="725A5A01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72D63621">
              <w:rPr>
                <w:rFonts w:asciiTheme="minorHAnsi" w:hAnsiTheme="minorHAnsi" w:eastAsiaTheme="minorEastAsia" w:cstheme="minorBidi"/>
              </w:rPr>
              <w:t>(iv) investors/donors?</w:t>
            </w:r>
          </w:p>
        </w:tc>
      </w:tr>
      <w:tr w:rsidR="002D7B2C" w:rsidTr="00397C42" w14:paraId="22AB58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05158E41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Impact</w:t>
            </w:r>
          </w:p>
        </w:tc>
        <w:tc>
          <w:tcPr>
            <w:tcW w:w="6757" w:type="dxa"/>
          </w:tcPr>
          <w:p w:rsidR="002D7B2C" w:rsidP="00397C42" w:rsidRDefault="002D7B2C" w14:paraId="26FF13E7" w14:textId="7777777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5E95431B">
              <w:rPr>
                <w:rFonts w:asciiTheme="minorHAnsi" w:hAnsiTheme="minorHAnsi" w:eastAsiaTheme="minorEastAsia" w:cstheme="minorBidi"/>
              </w:rPr>
              <w:t>To what extent, and how, has the programme contributed to its intended impacts and any unintended impacts?</w:t>
            </w:r>
          </w:p>
        </w:tc>
      </w:tr>
      <w:tr w:rsidR="002D7B2C" w:rsidTr="00397C42" w14:paraId="163335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</w:tcPr>
          <w:p w:rsidR="002D7B2C" w:rsidP="00397C42" w:rsidRDefault="002D7B2C" w14:paraId="227ED43D" w14:textId="77777777">
            <w:pPr>
              <w:ind w:left="0" w:firstLine="0"/>
              <w:rPr>
                <w:rFonts w:asciiTheme="minorHAnsi" w:hAnsiTheme="minorHAnsi" w:eastAsiaTheme="minorEastAsia" w:cstheme="minorBidi"/>
                <w:color w:val="FFFFFF" w:themeColor="background1"/>
              </w:rPr>
            </w:pPr>
            <w:r w:rsidRPr="72D63621">
              <w:rPr>
                <w:rFonts w:asciiTheme="minorHAnsi" w:hAnsiTheme="minorHAnsi" w:eastAsiaTheme="minorEastAsia" w:cstheme="minorBidi"/>
                <w:color w:val="FFFFFF" w:themeColor="background1"/>
              </w:rPr>
              <w:t>Sustainability</w:t>
            </w:r>
          </w:p>
        </w:tc>
        <w:tc>
          <w:tcPr>
            <w:tcW w:w="6757" w:type="dxa"/>
          </w:tcPr>
          <w:p w:rsidR="002D7B2C" w:rsidP="00397C42" w:rsidRDefault="002D7B2C" w14:paraId="76A0E9B8" w14:textId="7777777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</w:rPr>
            </w:pPr>
            <w:r w:rsidRPr="5E95431B">
              <w:rPr>
                <w:rFonts w:asciiTheme="minorHAnsi" w:hAnsiTheme="minorHAnsi" w:eastAsiaTheme="minorEastAsia" w:cstheme="minorBidi"/>
              </w:rPr>
              <w:t>To what extent has local ownership, trust and accountability, acting without compromising the future and ongoing benefit been implemented across the programme?</w:t>
            </w:r>
          </w:p>
        </w:tc>
      </w:tr>
    </w:tbl>
    <w:p w:rsidR="002D7B2C" w:rsidP="002D7B2C" w:rsidRDefault="002D7B2C" w14:paraId="459B1A73" w14:textId="77777777">
      <w:pPr>
        <w:rPr>
          <w:rFonts w:asciiTheme="minorHAnsi" w:hAnsiTheme="minorHAnsi" w:eastAsiaTheme="minorEastAsia" w:cstheme="minorBidi"/>
          <w:i/>
          <w:iCs/>
          <w:lang w:eastAsia="en-US"/>
        </w:rPr>
      </w:pPr>
      <w:r w:rsidRPr="0BAA455B">
        <w:rPr>
          <w:rFonts w:asciiTheme="minorHAnsi" w:hAnsiTheme="minorHAnsi" w:eastAsiaTheme="minorEastAsia" w:cstheme="minorBidi"/>
          <w:i/>
          <w:iCs/>
          <w:lang w:eastAsia="en-US"/>
        </w:rPr>
        <w:t>Table 10: WRP Evaluation Questions</w:t>
      </w:r>
    </w:p>
    <w:p w:rsidR="002D7B2C" w:rsidRDefault="002D7B2C" w14:paraId="3EE9D545" w14:textId="77777777"/>
    <w:p w:rsidR="002D7B2C" w:rsidRDefault="002D7B2C" w14:paraId="31C568E2" w14:textId="77777777"/>
    <w:p w:rsidR="002D7B2C" w:rsidP="002D7B2C" w:rsidRDefault="002D7B2C" w14:paraId="7661801E" w14:textId="77777777">
      <w:p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lastRenderedPageBreak/>
        <w:t xml:space="preserve">The WRP SC will appoint an </w:t>
      </w:r>
      <w:r w:rsidRPr="0BAA455B">
        <w:rPr>
          <w:rFonts w:asciiTheme="minorHAnsi" w:hAnsiTheme="minorHAnsi" w:eastAsiaTheme="minorEastAsia" w:cstheme="minorBidi"/>
          <w:b/>
          <w:bCs/>
          <w:i/>
          <w:iCs/>
          <w:lang w:eastAsia="en-US"/>
        </w:rPr>
        <w:t>evaluation sub-committee</w:t>
      </w:r>
      <w:r w:rsidRPr="0BAA455B">
        <w:rPr>
          <w:rFonts w:asciiTheme="minorHAnsi" w:hAnsiTheme="minorHAnsi" w:eastAsiaTheme="minorEastAsia" w:cstheme="minorBidi"/>
          <w:lang w:eastAsia="en-US"/>
        </w:rPr>
        <w:t xml:space="preserve"> to oversee all evaluations.</w:t>
      </w:r>
      <w:r w:rsidRPr="0BAA455B">
        <w:rPr>
          <w:rStyle w:val="FootnoteReference"/>
          <w:rFonts w:asciiTheme="minorHAnsi" w:hAnsiTheme="minorHAnsi" w:eastAsiaTheme="minorEastAsia" w:cstheme="minorBidi"/>
          <w:lang w:eastAsia="en-US"/>
        </w:rPr>
        <w:footnoteReference w:id="1"/>
      </w:r>
      <w:r w:rsidRPr="0BAA455B">
        <w:rPr>
          <w:rFonts w:asciiTheme="minorHAnsi" w:hAnsiTheme="minorHAnsi" w:eastAsiaTheme="minorEastAsia" w:cstheme="minorBidi"/>
          <w:lang w:eastAsia="en-US"/>
        </w:rPr>
        <w:t xml:space="preserve"> </w:t>
      </w:r>
      <w:r>
        <w:rPr>
          <w:rFonts w:asciiTheme="minorHAnsi" w:hAnsiTheme="minorHAnsi" w:eastAsiaTheme="minorEastAsia" w:cstheme="minorBidi"/>
          <w:lang w:eastAsia="en-US"/>
        </w:rPr>
        <w:t xml:space="preserve">Responsibilities of the </w:t>
      </w:r>
      <w:r w:rsidRPr="0BAA455B">
        <w:rPr>
          <w:rFonts w:asciiTheme="minorHAnsi" w:hAnsiTheme="minorHAnsi" w:eastAsiaTheme="minorEastAsia" w:cstheme="minorBidi"/>
          <w:lang w:eastAsia="en-US"/>
        </w:rPr>
        <w:t xml:space="preserve">WRP Evaluation Sub-committee members </w:t>
      </w:r>
      <w:r>
        <w:rPr>
          <w:rFonts w:asciiTheme="minorHAnsi" w:hAnsiTheme="minorHAnsi" w:eastAsiaTheme="minorEastAsia" w:cstheme="minorBidi"/>
          <w:lang w:eastAsia="en-US"/>
        </w:rPr>
        <w:t xml:space="preserve">are outlined within the Terms of Reference in Annex Four. </w:t>
      </w:r>
      <w:r w:rsidRPr="0BAA455B">
        <w:rPr>
          <w:rFonts w:asciiTheme="minorHAnsi" w:hAnsiTheme="minorHAnsi" w:eastAsiaTheme="minorEastAsia" w:cstheme="minorBidi"/>
          <w:lang w:eastAsia="en-US"/>
        </w:rPr>
        <w:t xml:space="preserve">will be responsible for: </w:t>
      </w:r>
    </w:p>
    <w:p w:rsidR="002D7B2C" w:rsidP="002D7B2C" w:rsidRDefault="002D7B2C" w14:paraId="157D0732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Review and updating, if required, the Evaluation TORs (as annexed)</w:t>
      </w:r>
    </w:p>
    <w:p w:rsidR="002D7B2C" w:rsidP="002D7B2C" w:rsidRDefault="002D7B2C" w14:paraId="7889CC39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SPREP will undertake procurement of an independent evaluation adviser, where required</w:t>
      </w:r>
    </w:p>
    <w:p w:rsidR="002D7B2C" w:rsidP="002D7B2C" w:rsidRDefault="002D7B2C" w14:paraId="596C9659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Review and feedback on the evaluation workplan</w:t>
      </w:r>
    </w:p>
    <w:p w:rsidR="002D7B2C" w:rsidP="002D7B2C" w:rsidRDefault="002D7B2C" w14:paraId="35D0C70C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 xml:space="preserve">Participation in the evaluation data collection </w:t>
      </w:r>
    </w:p>
    <w:p w:rsidR="002D7B2C" w:rsidP="002D7B2C" w:rsidRDefault="002D7B2C" w14:paraId="2570F4B9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Review and sense-making of the drafted evaluation findings and recommendations</w:t>
      </w:r>
    </w:p>
    <w:p w:rsidR="002D7B2C" w:rsidP="002D7B2C" w:rsidRDefault="002D7B2C" w14:paraId="79691D1E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Presentation of the evaluation findings and recommendations at the September/October Steering Committee Meeting</w:t>
      </w:r>
    </w:p>
    <w:p w:rsidR="002D7B2C" w:rsidP="002D7B2C" w:rsidRDefault="002D7B2C" w14:paraId="508F05C7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lang w:eastAsia="en-US"/>
        </w:rPr>
      </w:pPr>
      <w:r w:rsidRPr="0BAA455B">
        <w:rPr>
          <w:rFonts w:asciiTheme="minorHAnsi" w:hAnsiTheme="minorHAnsi" w:eastAsiaTheme="minorEastAsia" w:cstheme="minorBidi"/>
          <w:lang w:eastAsia="en-US"/>
        </w:rPr>
        <w:t>Guidance and oversight of implementation of approved recommendations.</w:t>
      </w:r>
    </w:p>
    <w:p w:rsidR="002D7B2C" w:rsidRDefault="002D7B2C" w14:paraId="4F8DE699" w14:textId="77777777"/>
    <w:p w:rsidR="002D7B2C" w:rsidRDefault="002D7B2C" w14:paraId="177B6FA3" w14:textId="77777777"/>
    <w:p w:rsidR="002D7B2C" w:rsidP="002D7B2C" w:rsidRDefault="002D7B2C" w14:paraId="29C7C8F0" w14:textId="77777777">
      <w:pPr>
        <w:rPr>
          <w:rFonts w:asciiTheme="minorHAnsi" w:hAnsiTheme="minorHAnsi" w:eastAsiaTheme="minorEastAsia" w:cstheme="minorBidi"/>
        </w:rPr>
      </w:pPr>
      <w:r w:rsidRPr="0BAA455B">
        <w:rPr>
          <w:rFonts w:asciiTheme="minorHAnsi" w:hAnsiTheme="minorHAnsi" w:eastAsiaTheme="minorEastAsia" w:cstheme="minorBidi"/>
        </w:rPr>
        <w:t>All WRP evaluations will be reviewed by the six OCED DAC lenses to analyse the programme and its results. The six criteria provide complementary perspectives, giving a holistic picture of the programme, its implementation and results. Together they describe the desired WRP principles: they should be relevant to the context, coherent with other interventions, achieve results in an efficient way and have positive, lasting impacts for sustained development.</w:t>
      </w:r>
    </w:p>
    <w:p w:rsidR="002D7B2C" w:rsidRDefault="002D7B2C" w14:paraId="5C5AFDCF" w14:textId="77777777"/>
    <w:sectPr w:rsidR="002D7B2C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B2C" w:rsidP="002D7B2C" w:rsidRDefault="002D7B2C" w14:paraId="7C25E2FD" w14:textId="77777777">
      <w:pPr>
        <w:spacing w:after="0" w:line="240" w:lineRule="auto"/>
      </w:pPr>
      <w:r>
        <w:separator/>
      </w:r>
    </w:p>
  </w:endnote>
  <w:endnote w:type="continuationSeparator" w:id="0">
    <w:p w:rsidR="002D7B2C" w:rsidP="002D7B2C" w:rsidRDefault="002D7B2C" w14:paraId="476485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CC7" w:rsidP="00A92CC7" w:rsidRDefault="00A92CC7" w14:paraId="04A18659" w14:textId="77777777">
    <w:pPr>
      <w:spacing w:after="147" w:line="259" w:lineRule="auto"/>
      <w:ind w:left="3" w:firstLine="0"/>
      <w:jc w:val="center"/>
    </w:pPr>
    <w:r>
      <w:rPr>
        <w:rFonts w:ascii="Arial" w:hAnsi="Arial" w:eastAsia="Arial" w:cs="Arial"/>
        <w:color w:val="005493"/>
        <w:sz w:val="18"/>
      </w:rPr>
      <w:t>PO Box 240, Apia, Samoa    T +685 21929    F +685 20231    sprep@sprep.org</w:t>
    </w:r>
    <w:r>
      <w:rPr>
        <w:rFonts w:ascii="Trebuchet MS" w:hAnsi="Trebuchet MS" w:eastAsia="Trebuchet MS" w:cs="Trebuchet MS"/>
        <w:color w:val="005493"/>
      </w:rPr>
      <w:t xml:space="preserve">   </w:t>
    </w:r>
    <w:hyperlink r:id="rId1">
      <w:r>
        <w:rPr>
          <w:rFonts w:ascii="Arial" w:hAnsi="Arial" w:eastAsia="Arial" w:cs="Arial"/>
          <w:color w:val="005493"/>
          <w:sz w:val="18"/>
        </w:rPr>
        <w:t>www.sprep.org</w:t>
      </w:r>
    </w:hyperlink>
    <w:hyperlink r:id="rId2">
      <w:r>
        <w:rPr>
          <w:rFonts w:ascii="Trebuchet MS" w:hAnsi="Trebuchet MS" w:eastAsia="Trebuchet MS" w:cs="Trebuchet MS"/>
        </w:rPr>
        <w:t xml:space="preserve"> </w:t>
      </w:r>
    </w:hyperlink>
  </w:p>
  <w:p w:rsidR="00A92CC7" w:rsidP="00A92CC7" w:rsidRDefault="00A92CC7" w14:paraId="43ABB2A3" w14:textId="77777777">
    <w:pPr>
      <w:spacing w:after="0" w:line="259" w:lineRule="auto"/>
      <w:ind w:left="0" w:firstLine="0"/>
      <w:jc w:val="center"/>
    </w:pPr>
    <w:r w:rsidRPr="777277BC">
      <w:rPr>
        <w:rFonts w:ascii="Arial" w:hAnsi="Arial" w:eastAsia="Arial" w:cs="Arial"/>
        <w:color w:val="C67838"/>
        <w:sz w:val="18"/>
        <w:szCs w:val="18"/>
      </w:rPr>
      <w:t>A resilient Pacific environment sustaining our livelihoods and natural heritage in harmony with our cultures.</w:t>
    </w:r>
    <w:r w:rsidRPr="777277BC">
      <w:rPr>
        <w:rFonts w:ascii="Trebuchet MS" w:hAnsi="Trebuchet MS" w:eastAsia="Trebuchet MS" w:cs="Trebuchet MS"/>
      </w:rPr>
      <w:t xml:space="preserve"> </w:t>
    </w:r>
  </w:p>
  <w:sdt>
    <w:sdtPr>
      <w:id w:val="-1532557109"/>
      <w:docPartObj>
        <w:docPartGallery w:val="Page Numbers (Bottom of Page)"/>
        <w:docPartUnique/>
      </w:docPartObj>
    </w:sdtPr>
    <w:sdtEndPr>
      <w:rPr>
        <w:rFonts w:ascii="Aptos" w:hAnsi="Aptos" w:asciiTheme="minorAscii" w:hAnsiTheme="minorAscii"/>
        <w:noProof/>
      </w:rPr>
    </w:sdtEndPr>
    <w:sdtContent>
      <w:p w:rsidRPr="00A92CC7" w:rsidR="00A92CC7" w:rsidP="00A92CC7" w:rsidRDefault="00A92CC7" w14:paraId="0F24F30B" w14:textId="4FB58841">
        <w:pPr>
          <w:pStyle w:val="Footer"/>
          <w:jc w:val="right"/>
          <w:rPr>
            <w:rFonts w:asciiTheme="minorHAnsi" w:hAnsiTheme="minorHAnsi"/>
          </w:rPr>
        </w:pPr>
        <w:r w:rsidRPr="008B5FC4">
          <w:rPr>
            <w:rFonts w:asciiTheme="minorHAnsi" w:hAnsiTheme="minorHAnsi"/>
          </w:rPr>
          <w:fldChar w:fldCharType="begin"/>
        </w:r>
        <w:r w:rsidRPr="008B5FC4">
          <w:rPr>
            <w:rFonts w:asciiTheme="minorHAnsi" w:hAnsiTheme="minorHAnsi"/>
          </w:rPr>
          <w:instrText xml:space="preserve"> PAGE   \* MERGEFORMAT </w:instrText>
        </w:r>
        <w:r w:rsidRPr="008B5FC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3</w:t>
        </w:r>
        <w:r w:rsidRPr="008B5FC4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B2C" w:rsidP="002D7B2C" w:rsidRDefault="002D7B2C" w14:paraId="34222F98" w14:textId="77777777">
      <w:pPr>
        <w:spacing w:after="0" w:line="240" w:lineRule="auto"/>
      </w:pPr>
      <w:r>
        <w:separator/>
      </w:r>
    </w:p>
  </w:footnote>
  <w:footnote w:type="continuationSeparator" w:id="0">
    <w:p w:rsidR="002D7B2C" w:rsidP="002D7B2C" w:rsidRDefault="002D7B2C" w14:paraId="3F5F9E25" w14:textId="77777777">
      <w:pPr>
        <w:spacing w:after="0" w:line="240" w:lineRule="auto"/>
      </w:pPr>
      <w:r>
        <w:continuationSeparator/>
      </w:r>
    </w:p>
  </w:footnote>
  <w:footnote w:id="1">
    <w:p w:rsidR="002D7B2C" w:rsidP="002D7B2C" w:rsidRDefault="002D7B2C" w14:paraId="19DD8321" w14:textId="77777777">
      <w:pPr>
        <w:pStyle w:val="FootnoteText"/>
      </w:pPr>
      <w:r w:rsidRPr="0BAA455B">
        <w:rPr>
          <w:rStyle w:val="FootnoteReference"/>
        </w:rPr>
        <w:footnoteRef/>
      </w:r>
      <w:r>
        <w:t xml:space="preserve"> Membership may include xx WRP SC representative/s (1 from each sub-region), xx executing agency representatives, xx local partner representatives, xx development partner representatives, xx industry representatives, WRP PMU (Manager and MERLA Officer).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52EA"/>
    <w:multiLevelType w:val="hybridMultilevel"/>
    <w:tmpl w:val="720A48C0"/>
    <w:lvl w:ilvl="0" w:tplc="D044496E">
      <w:start w:val="1"/>
      <w:numFmt w:val="bullet"/>
      <w:lvlText w:val="-"/>
      <w:lvlJc w:val="left"/>
      <w:pPr>
        <w:ind w:left="468" w:hanging="360"/>
      </w:pPr>
      <w:rPr>
        <w:rFonts w:hint="default" w:ascii="Aptos" w:hAnsi="Aptos" w:eastAsia="Calibri" w:cs="Segoe UI"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num w:numId="1" w16cid:durableId="100743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2C"/>
    <w:rsid w:val="00253A7D"/>
    <w:rsid w:val="002D7B2C"/>
    <w:rsid w:val="00794F2B"/>
    <w:rsid w:val="00A92CC7"/>
    <w:rsid w:val="00BB0433"/>
    <w:rsid w:val="222E3F70"/>
    <w:rsid w:val="4DC63333"/>
    <w:rsid w:val="69E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E224"/>
  <w15:chartTrackingRefBased/>
  <w15:docId w15:val="{95DDF101-1279-4785-8DE4-3A50A7D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7B2C"/>
    <w:pPr>
      <w:spacing w:after="4" w:line="268" w:lineRule="auto"/>
      <w:ind w:left="118" w:hanging="10"/>
      <w:jc w:val="both"/>
    </w:pPr>
    <w:rPr>
      <w:rFonts w:ascii="Calibri" w:hAnsi="Calibri" w:eastAsia="Calibri" w:cs="Calibri"/>
      <w:color w:val="00000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B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B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7B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7B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7B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7B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7B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7B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7B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7B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7B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2C"/>
    <w:rPr>
      <w:b/>
      <w:bCs/>
      <w:smallCaps/>
      <w:color w:val="0F4761" w:themeColor="accent1" w:themeShade="BF"/>
      <w:spacing w:val="5"/>
    </w:rPr>
  </w:style>
  <w:style w:type="table" w:styleId="GridTable5Dark-Accent1">
    <w:name w:val="Grid Table 5 Dark Accent 1"/>
    <w:basedOn w:val="TableNormal"/>
    <w:uiPriority w:val="50"/>
    <w:rsid w:val="002D7B2C"/>
    <w:pPr>
      <w:spacing w:after="0" w:line="240" w:lineRule="auto"/>
    </w:pPr>
    <w:rPr>
      <w:rFonts w:eastAsiaTheme="minorEastAsia"/>
      <w:sz w:val="24"/>
      <w:szCs w:val="24"/>
      <w:lang w:eastAsia="en-AU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2D7B2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D7B2C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uiPriority w:val="99"/>
    <w:semiHidden/>
    <w:rsid w:val="002D7B2C"/>
    <w:rPr>
      <w:rFonts w:ascii="Calibri" w:hAnsi="Calibri" w:eastAsia="Calibri" w:cs="Calibri"/>
      <w:color w:val="000000"/>
      <w:sz w:val="20"/>
      <w:szCs w:val="20"/>
      <w:lang w:eastAsia="en-AU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2D7B2C"/>
    <w:rPr>
      <w:rFonts w:ascii="Aptos" w:hAnsi="Aptos" w:eastAsia="Aptos" w:cs="Aptos"/>
      <w:kern w:val="0"/>
      <w:sz w:val="20"/>
      <w:szCs w:val="20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C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2CC7"/>
    <w:rPr>
      <w:rFonts w:ascii="Calibri" w:hAnsi="Calibri" w:eastAsia="Calibri" w:cs="Calibri"/>
      <w:color w:val="00000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92C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2CC7"/>
    <w:rPr>
      <w:rFonts w:ascii="Calibri" w:hAnsi="Calibri" w:eastAsia="Calibri" w:cs="Calibri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FF015-F537-4382-ADAB-41DDD83B872F}"/>
</file>

<file path=customXml/itemProps2.xml><?xml version="1.0" encoding="utf-8"?>
<ds:datastoreItem xmlns:ds="http://schemas.openxmlformats.org/officeDocument/2006/customXml" ds:itemID="{56E39E65-6EB9-4DB6-AA18-D3807B914B3F}"/>
</file>

<file path=customXml/itemProps3.xml><?xml version="1.0" encoding="utf-8"?>
<ds:datastoreItem xmlns:ds="http://schemas.openxmlformats.org/officeDocument/2006/customXml" ds:itemID="{95A0B66C-98AF-44D0-B772-F6EEC5FAC2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Cherry</dc:creator>
  <keywords/>
  <dc:description/>
  <lastModifiedBy>'Ofa Fa'anunu</lastModifiedBy>
  <revision>3</revision>
  <dcterms:created xsi:type="dcterms:W3CDTF">2025-07-29T03:27:00.0000000Z</dcterms:created>
  <dcterms:modified xsi:type="dcterms:W3CDTF">2026-05-20T10:14:30.6032164Z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