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1080" w14:textId="7FDF3F8D" w:rsidR="0010092B" w:rsidRDefault="0010092B" w:rsidP="00601F81">
      <w:pPr>
        <w:rPr>
          <w:rFonts w:ascii="Aptos" w:hAnsi="Aptos"/>
          <w:bCs/>
          <w:i/>
          <w:iCs/>
          <w:color w:val="984806" w:themeColor="accent6" w:themeShade="80"/>
        </w:rPr>
      </w:pPr>
      <w:r>
        <w:rPr>
          <w:rFonts w:ascii="Aptos" w:hAnsi="Aptos"/>
          <w:b/>
          <w:i/>
          <w:iCs/>
          <w:color w:val="984806" w:themeColor="accent6" w:themeShade="80"/>
        </w:rPr>
        <w:t xml:space="preserve">Guide: </w:t>
      </w:r>
    </w:p>
    <w:p w14:paraId="4087F785" w14:textId="25C484E1" w:rsidR="0010092B" w:rsidRDefault="0010092B" w:rsidP="00601F81">
      <w:pPr>
        <w:pStyle w:val="ListParagraph"/>
        <w:numPr>
          <w:ilvl w:val="0"/>
          <w:numId w:val="5"/>
        </w:numPr>
        <w:ind w:firstLine="0"/>
        <w:rPr>
          <w:rFonts w:ascii="Aptos" w:hAnsi="Aptos"/>
          <w:bCs/>
          <w:i/>
          <w:iCs/>
          <w:color w:val="984806" w:themeColor="accent6" w:themeShade="80"/>
        </w:rPr>
      </w:pPr>
      <w:r w:rsidRPr="10D52933">
        <w:rPr>
          <w:rFonts w:ascii="Aptos" w:hAnsi="Aptos"/>
          <w:i/>
          <w:iCs/>
          <w:color w:val="984806" w:themeColor="accent6" w:themeShade="80"/>
        </w:rPr>
        <w:t>To be used when transferring assets purchased by Executing Agencies under Weather Ready Pacific (WRP) to a local/final beneficiary.</w:t>
      </w:r>
    </w:p>
    <w:p w14:paraId="78D2DB70" w14:textId="411BF63B" w:rsidR="6BD0B5E5" w:rsidRDefault="6BD0B5E5" w:rsidP="00601F81">
      <w:pPr>
        <w:pStyle w:val="ListParagraph"/>
        <w:numPr>
          <w:ilvl w:val="0"/>
          <w:numId w:val="5"/>
        </w:numPr>
        <w:ind w:firstLine="0"/>
        <w:rPr>
          <w:rFonts w:ascii="Aptos" w:hAnsi="Aptos"/>
          <w:i/>
          <w:iCs/>
          <w:color w:val="984806" w:themeColor="accent6" w:themeShade="80"/>
        </w:rPr>
      </w:pPr>
      <w:r w:rsidRPr="5D034E36">
        <w:rPr>
          <w:rFonts w:ascii="Aptos" w:hAnsi="Aptos"/>
          <w:i/>
          <w:iCs/>
          <w:color w:val="984806" w:themeColor="accent6" w:themeShade="80"/>
        </w:rPr>
        <w:t>An item is considered an “asset” where it will be use for &gt;1 year</w:t>
      </w:r>
      <w:r w:rsidR="7650B8C6" w:rsidRPr="5D034E36">
        <w:rPr>
          <w:rFonts w:ascii="Aptos" w:hAnsi="Aptos"/>
          <w:i/>
          <w:iCs/>
          <w:color w:val="984806" w:themeColor="accent6" w:themeShade="80"/>
        </w:rPr>
        <w:t xml:space="preserve"> and</w:t>
      </w:r>
      <w:r w:rsidRPr="5D034E36">
        <w:rPr>
          <w:rFonts w:ascii="Aptos" w:hAnsi="Aptos"/>
          <w:i/>
          <w:iCs/>
          <w:color w:val="984806" w:themeColor="accent6" w:themeShade="80"/>
        </w:rPr>
        <w:t xml:space="preserve"> has a purchase cost of over USD 1,000.</w:t>
      </w:r>
      <w:r w:rsidR="15EBCB61" w:rsidRPr="5D034E36">
        <w:rPr>
          <w:rFonts w:ascii="Aptos" w:hAnsi="Aptos"/>
          <w:i/>
          <w:iCs/>
          <w:color w:val="984806" w:themeColor="accent6" w:themeShade="80"/>
        </w:rPr>
        <w:t xml:space="preserve"> Note, </w:t>
      </w:r>
    </w:p>
    <w:p w14:paraId="553E4418" w14:textId="05379E66" w:rsidR="6BD0B5E5" w:rsidRDefault="15EBCB61" w:rsidP="00601F81">
      <w:pPr>
        <w:pStyle w:val="ListParagraph"/>
        <w:numPr>
          <w:ilvl w:val="1"/>
          <w:numId w:val="5"/>
        </w:numPr>
        <w:ind w:firstLine="0"/>
        <w:rPr>
          <w:rFonts w:ascii="Aptos" w:hAnsi="Aptos"/>
          <w:i/>
          <w:iCs/>
          <w:color w:val="984806" w:themeColor="accent6" w:themeShade="80"/>
        </w:rPr>
      </w:pPr>
      <w:r w:rsidRPr="5D034E36">
        <w:rPr>
          <w:rFonts w:ascii="Aptos" w:hAnsi="Aptos"/>
          <w:i/>
          <w:iCs/>
          <w:color w:val="984806" w:themeColor="accent6" w:themeShade="80"/>
        </w:rPr>
        <w:t xml:space="preserve">if an asset is valued at less than USD 1,000 but has a useful life of more than 1 year, it may still be considered an asset particularly for </w:t>
      </w:r>
      <w:r w:rsidR="37BAED24" w:rsidRPr="5D034E36">
        <w:rPr>
          <w:rFonts w:ascii="Aptos" w:hAnsi="Aptos"/>
          <w:i/>
          <w:iCs/>
          <w:color w:val="984806" w:themeColor="accent6" w:themeShade="80"/>
        </w:rPr>
        <w:t>ICT equipment.</w:t>
      </w:r>
    </w:p>
    <w:p w14:paraId="713E1863" w14:textId="4A18AC87" w:rsidR="5A2D3371" w:rsidRDefault="5A2D3371" w:rsidP="00601F81">
      <w:pPr>
        <w:pStyle w:val="ListParagraph"/>
        <w:numPr>
          <w:ilvl w:val="1"/>
          <w:numId w:val="5"/>
        </w:numPr>
        <w:ind w:firstLine="0"/>
        <w:rPr>
          <w:rFonts w:ascii="Aptos" w:hAnsi="Aptos"/>
          <w:i/>
          <w:iCs/>
          <w:color w:val="984806" w:themeColor="accent6" w:themeShade="80"/>
        </w:rPr>
      </w:pPr>
      <w:r w:rsidRPr="5D034E36">
        <w:rPr>
          <w:rFonts w:ascii="Aptos" w:hAnsi="Aptos"/>
          <w:i/>
          <w:iCs/>
          <w:color w:val="984806" w:themeColor="accent6" w:themeShade="80"/>
        </w:rPr>
        <w:t>costs which can be capitalised as part of an asset value include materials, labour, installation and other construction and acquisition costs of fixed assets.</w:t>
      </w:r>
    </w:p>
    <w:p w14:paraId="06AB989E" w14:textId="146D3C11" w:rsidR="0010092B" w:rsidRPr="0010092B" w:rsidRDefault="0010092B" w:rsidP="00601F81">
      <w:pPr>
        <w:pStyle w:val="ListParagraph"/>
        <w:numPr>
          <w:ilvl w:val="0"/>
          <w:numId w:val="5"/>
        </w:numPr>
        <w:ind w:firstLine="0"/>
        <w:rPr>
          <w:rFonts w:ascii="Aptos" w:hAnsi="Aptos"/>
          <w:bCs/>
          <w:i/>
          <w:iCs/>
          <w:color w:val="984806" w:themeColor="accent6" w:themeShade="80"/>
        </w:rPr>
      </w:pPr>
      <w:r>
        <w:rPr>
          <w:rFonts w:ascii="Aptos" w:hAnsi="Aptos"/>
          <w:bCs/>
          <w:i/>
          <w:iCs/>
          <w:color w:val="984806" w:themeColor="accent6" w:themeShade="80"/>
        </w:rPr>
        <w:t>Remove brown italics that provide guidance prior to finalising.</w:t>
      </w:r>
    </w:p>
    <w:p w14:paraId="0B630C86" w14:textId="1020332D" w:rsidR="00F677DE" w:rsidRPr="004B768C" w:rsidRDefault="00FF2EF2" w:rsidP="0094576E">
      <w:pPr>
        <w:spacing w:before="120" w:after="120"/>
        <w:jc w:val="center"/>
        <w:rPr>
          <w:rFonts w:ascii="Aptos" w:hAnsi="Aptos"/>
          <w:b/>
        </w:rPr>
      </w:pPr>
      <w:r w:rsidRPr="004B768C">
        <w:rPr>
          <w:rFonts w:ascii="Aptos" w:hAnsi="Aptos"/>
          <w:b/>
        </w:rPr>
        <w:t>TRANSFER OF ASSETS</w:t>
      </w:r>
    </w:p>
    <w:tbl>
      <w:tblPr>
        <w:tblStyle w:val="TableGrid"/>
        <w:tblW w:w="0" w:type="auto"/>
        <w:tblInd w:w="552" w:type="dxa"/>
        <w:tblLook w:val="04A0" w:firstRow="1" w:lastRow="0" w:firstColumn="1" w:lastColumn="0" w:noHBand="0" w:noVBand="1"/>
      </w:tblPr>
      <w:tblGrid>
        <w:gridCol w:w="4253"/>
        <w:gridCol w:w="9623"/>
      </w:tblGrid>
      <w:tr w:rsidR="00FF2EF2" w:rsidRPr="004B768C" w14:paraId="6A4206D5" w14:textId="77777777" w:rsidTr="00601F81">
        <w:trPr>
          <w:trHeight w:val="495"/>
        </w:trPr>
        <w:tc>
          <w:tcPr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98DD5B8" w14:textId="6A224319" w:rsidR="00FF2EF2" w:rsidRPr="004B768C" w:rsidRDefault="00390C4B" w:rsidP="00F677DE">
            <w:pPr>
              <w:rPr>
                <w:rFonts w:ascii="Aptos" w:hAnsi="Aptos"/>
                <w:b/>
              </w:rPr>
            </w:pPr>
            <w:r w:rsidRPr="004B768C">
              <w:rPr>
                <w:rFonts w:ascii="Aptos" w:hAnsi="Aptos"/>
                <w:b/>
              </w:rPr>
              <w:t xml:space="preserve">WRP </w:t>
            </w:r>
            <w:r w:rsidR="00FF2EF2" w:rsidRPr="004B768C">
              <w:rPr>
                <w:rFonts w:ascii="Aptos" w:hAnsi="Aptos"/>
                <w:b/>
              </w:rPr>
              <w:t>Project</w:t>
            </w:r>
            <w:r w:rsidRPr="004B768C">
              <w:rPr>
                <w:rFonts w:ascii="Aptos" w:hAnsi="Aptos"/>
                <w:b/>
              </w:rPr>
              <w:t xml:space="preserve"> title</w:t>
            </w:r>
          </w:p>
        </w:tc>
        <w:tc>
          <w:tcPr>
            <w:tcW w:w="962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4CCC2F" w14:textId="77777777" w:rsidR="00FF2EF2" w:rsidRPr="004B768C" w:rsidRDefault="00FF2EF2" w:rsidP="00F677DE">
            <w:pPr>
              <w:rPr>
                <w:rFonts w:ascii="Aptos" w:hAnsi="Aptos"/>
                <w:b/>
              </w:rPr>
            </w:pPr>
          </w:p>
        </w:tc>
      </w:tr>
      <w:tr w:rsidR="49C67344" w14:paraId="73BE38F5" w14:textId="77777777" w:rsidTr="00601F81">
        <w:trPr>
          <w:trHeight w:val="300"/>
        </w:trPr>
        <w:tc>
          <w:tcPr>
            <w:tcW w:w="4253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41617896" w14:textId="527D0ACC" w:rsidR="49C67344" w:rsidRDefault="49C67344" w:rsidP="49C67344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9623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5AB1C85F" w14:textId="443CD443" w:rsidR="49C67344" w:rsidRDefault="49C67344" w:rsidP="49C67344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</w:tr>
      <w:tr w:rsidR="00FF2EF2" w:rsidRPr="004B768C" w14:paraId="586D87BB" w14:textId="77777777" w:rsidTr="00601F81">
        <w:trPr>
          <w:trHeight w:val="257"/>
        </w:trPr>
        <w:tc>
          <w:tcPr>
            <w:tcW w:w="138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C77C0E3" w14:textId="40F7582E" w:rsidR="00FF2EF2" w:rsidRPr="004B768C" w:rsidRDefault="357A26C0" w:rsidP="49C67344">
            <w:pPr>
              <w:rPr>
                <w:rFonts w:ascii="Aptos" w:hAnsi="Aptos"/>
                <w:b/>
                <w:bCs/>
              </w:rPr>
            </w:pPr>
            <w:r w:rsidRPr="49C67344">
              <w:rPr>
                <w:rFonts w:ascii="Aptos" w:hAnsi="Aptos"/>
                <w:b/>
                <w:bCs/>
              </w:rPr>
              <w:t xml:space="preserve"> </w:t>
            </w:r>
            <w:r w:rsidR="0396322C" w:rsidRPr="49C67344">
              <w:rPr>
                <w:rFonts w:ascii="Aptos" w:hAnsi="Aptos"/>
                <w:b/>
                <w:bCs/>
              </w:rPr>
              <w:t>Transferor</w:t>
            </w:r>
          </w:p>
        </w:tc>
      </w:tr>
      <w:tr w:rsidR="49C67344" w14:paraId="1FF5EEA0" w14:textId="77777777" w:rsidTr="00601F81">
        <w:trPr>
          <w:trHeight w:val="300"/>
        </w:trPr>
        <w:tc>
          <w:tcPr>
            <w:tcW w:w="4253" w:type="dxa"/>
            <w:tcBorders>
              <w:left w:val="single" w:sz="12" w:space="0" w:color="000000" w:themeColor="text1"/>
            </w:tcBorders>
          </w:tcPr>
          <w:p w14:paraId="6D75082E" w14:textId="4D5E907A" w:rsidR="1EDF06EA" w:rsidRDefault="1EDF06EA" w:rsidP="49C67344">
            <w:pPr>
              <w:rPr>
                <w:rFonts w:ascii="Aptos" w:hAnsi="Aptos"/>
                <w:b/>
                <w:bCs/>
              </w:rPr>
            </w:pPr>
            <w:r w:rsidRPr="49C67344">
              <w:rPr>
                <w:rFonts w:ascii="Aptos" w:hAnsi="Aptos"/>
                <w:b/>
                <w:bCs/>
              </w:rPr>
              <w:t>Organisation name</w:t>
            </w:r>
          </w:p>
        </w:tc>
        <w:tc>
          <w:tcPr>
            <w:tcW w:w="9623" w:type="dxa"/>
            <w:tcBorders>
              <w:right w:val="single" w:sz="12" w:space="0" w:color="000000" w:themeColor="text1"/>
            </w:tcBorders>
          </w:tcPr>
          <w:p w14:paraId="318550A4" w14:textId="42A72470" w:rsidR="49C67344" w:rsidRDefault="49C67344" w:rsidP="49C67344">
            <w:pPr>
              <w:rPr>
                <w:rFonts w:ascii="Aptos" w:hAnsi="Aptos"/>
                <w:b/>
                <w:bCs/>
              </w:rPr>
            </w:pPr>
          </w:p>
        </w:tc>
      </w:tr>
      <w:tr w:rsidR="49C67344" w14:paraId="58A77E05" w14:textId="77777777" w:rsidTr="00601F81">
        <w:trPr>
          <w:trHeight w:val="300"/>
        </w:trPr>
        <w:tc>
          <w:tcPr>
            <w:tcW w:w="4253" w:type="dxa"/>
            <w:tcBorders>
              <w:left w:val="single" w:sz="12" w:space="0" w:color="000000" w:themeColor="text1"/>
            </w:tcBorders>
          </w:tcPr>
          <w:p w14:paraId="467AD0B0" w14:textId="4312B812" w:rsidR="1EDF06EA" w:rsidRDefault="1EDF06EA" w:rsidP="49C67344">
            <w:pPr>
              <w:rPr>
                <w:rFonts w:ascii="Aptos" w:hAnsi="Aptos"/>
                <w:b/>
                <w:bCs/>
              </w:rPr>
            </w:pPr>
            <w:r w:rsidRPr="49C67344">
              <w:rPr>
                <w:rFonts w:ascii="Aptos" w:hAnsi="Aptos"/>
                <w:b/>
                <w:bCs/>
              </w:rPr>
              <w:t>Contact</w:t>
            </w:r>
          </w:p>
        </w:tc>
        <w:tc>
          <w:tcPr>
            <w:tcW w:w="9623" w:type="dxa"/>
            <w:tcBorders>
              <w:right w:val="single" w:sz="12" w:space="0" w:color="000000" w:themeColor="text1"/>
            </w:tcBorders>
          </w:tcPr>
          <w:p w14:paraId="492CE27A" w14:textId="70D0ED9D" w:rsidR="49C67344" w:rsidRDefault="49C67344" w:rsidP="49C67344">
            <w:pPr>
              <w:rPr>
                <w:rFonts w:ascii="Aptos" w:hAnsi="Aptos"/>
                <w:b/>
                <w:bCs/>
              </w:rPr>
            </w:pPr>
          </w:p>
        </w:tc>
      </w:tr>
      <w:tr w:rsidR="00FF2EF2" w:rsidRPr="004B768C" w14:paraId="1C418F97" w14:textId="77777777" w:rsidTr="00601F81">
        <w:trPr>
          <w:trHeight w:val="361"/>
        </w:trPr>
        <w:tc>
          <w:tcPr>
            <w:tcW w:w="13876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139F7E7" w14:textId="5E3111BD" w:rsidR="00FF2EF2" w:rsidRPr="004B768C" w:rsidRDefault="44F9D002" w:rsidP="49C67344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</w:rPr>
            </w:pPr>
            <w:r w:rsidRPr="49C67344">
              <w:rPr>
                <w:rFonts w:ascii="Aptos" w:hAnsi="Aptos"/>
                <w:b/>
                <w:bCs/>
              </w:rPr>
              <w:t>Recipient</w:t>
            </w:r>
            <w:r w:rsidR="11B3F892" w:rsidRPr="49C67344">
              <w:rPr>
                <w:rFonts w:ascii="Aptos" w:hAnsi="Aptos"/>
                <w:b/>
                <w:bCs/>
              </w:rPr>
              <w:t xml:space="preserve"> </w:t>
            </w:r>
            <w:r w:rsidRPr="49C67344">
              <w:rPr>
                <w:rFonts w:ascii="Aptos" w:hAnsi="Aptos" w:cs="ECSquareSansPro"/>
                <w:i/>
                <w:iCs/>
                <w:color w:val="984806" w:themeColor="accent6" w:themeShade="80"/>
                <w:sz w:val="20"/>
                <w:szCs w:val="20"/>
                <w:lang w:val="en-AU"/>
              </w:rPr>
              <w:t>(</w:t>
            </w:r>
            <w:r w:rsidR="0396322C" w:rsidRPr="49C67344">
              <w:rPr>
                <w:rFonts w:ascii="Aptos" w:hAnsi="Aptos" w:cs="ECSquareSansPro"/>
                <w:i/>
                <w:iCs/>
                <w:color w:val="984806" w:themeColor="accent6" w:themeShade="80"/>
                <w:sz w:val="20"/>
                <w:szCs w:val="20"/>
                <w:lang w:val="en-AU"/>
              </w:rPr>
              <w:t>local</w:t>
            </w:r>
            <w:r w:rsidRPr="49C67344">
              <w:rPr>
                <w:rFonts w:ascii="Aptos" w:hAnsi="Aptos" w:cs="ECSquareSansPro"/>
                <w:i/>
                <w:iCs/>
                <w:color w:val="984806" w:themeColor="accent6" w:themeShade="80"/>
                <w:sz w:val="20"/>
                <w:szCs w:val="20"/>
                <w:lang w:val="en-AU"/>
              </w:rPr>
              <w:t>/final b</w:t>
            </w:r>
            <w:r w:rsidR="0396322C" w:rsidRPr="49C67344">
              <w:rPr>
                <w:rFonts w:ascii="Aptos" w:hAnsi="Aptos" w:cs="ECSquareSansPro"/>
                <w:i/>
                <w:iCs/>
                <w:color w:val="984806" w:themeColor="accent6" w:themeShade="80"/>
                <w:sz w:val="20"/>
                <w:szCs w:val="20"/>
                <w:lang w:val="en-AU"/>
              </w:rPr>
              <w:t>eneficiary</w:t>
            </w:r>
            <w:r w:rsidRPr="49C67344">
              <w:rPr>
                <w:rFonts w:ascii="Aptos" w:hAnsi="Aptos" w:cs="ECSquareSansPro"/>
                <w:i/>
                <w:iCs/>
                <w:color w:val="984806" w:themeColor="accent6" w:themeShade="80"/>
                <w:sz w:val="20"/>
                <w:szCs w:val="20"/>
                <w:lang w:val="en-AU"/>
              </w:rPr>
              <w:t>)</w:t>
            </w:r>
          </w:p>
        </w:tc>
      </w:tr>
      <w:tr w:rsidR="49C67344" w14:paraId="043B44DE" w14:textId="77777777" w:rsidTr="00601F81">
        <w:trPr>
          <w:trHeight w:val="300"/>
        </w:trPr>
        <w:tc>
          <w:tcPr>
            <w:tcW w:w="4253" w:type="dxa"/>
            <w:tcBorders>
              <w:left w:val="single" w:sz="12" w:space="0" w:color="000000" w:themeColor="text1"/>
            </w:tcBorders>
          </w:tcPr>
          <w:p w14:paraId="4692C846" w14:textId="4D5E907A" w:rsidR="49C67344" w:rsidRDefault="49C67344" w:rsidP="49C67344">
            <w:pPr>
              <w:rPr>
                <w:rFonts w:ascii="Aptos" w:hAnsi="Aptos"/>
                <w:b/>
                <w:bCs/>
              </w:rPr>
            </w:pPr>
            <w:r w:rsidRPr="49C67344">
              <w:rPr>
                <w:rFonts w:ascii="Aptos" w:hAnsi="Aptos"/>
                <w:b/>
                <w:bCs/>
              </w:rPr>
              <w:t>Organisation name</w:t>
            </w:r>
          </w:p>
        </w:tc>
        <w:tc>
          <w:tcPr>
            <w:tcW w:w="9623" w:type="dxa"/>
            <w:tcBorders>
              <w:right w:val="single" w:sz="12" w:space="0" w:color="000000" w:themeColor="text1"/>
            </w:tcBorders>
          </w:tcPr>
          <w:p w14:paraId="73139308" w14:textId="172DB906" w:rsidR="49C67344" w:rsidRDefault="49C67344" w:rsidP="49C67344">
            <w:pPr>
              <w:rPr>
                <w:rFonts w:ascii="Aptos" w:hAnsi="Aptos"/>
                <w:b/>
                <w:bCs/>
              </w:rPr>
            </w:pPr>
          </w:p>
        </w:tc>
      </w:tr>
      <w:tr w:rsidR="49C67344" w14:paraId="12C8D492" w14:textId="77777777" w:rsidTr="00601F81">
        <w:trPr>
          <w:trHeight w:val="300"/>
        </w:trPr>
        <w:tc>
          <w:tcPr>
            <w:tcW w:w="425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BD9534B" w14:textId="4312B812" w:rsidR="49C67344" w:rsidRDefault="49C67344" w:rsidP="49C67344">
            <w:pPr>
              <w:rPr>
                <w:rFonts w:ascii="Aptos" w:hAnsi="Aptos"/>
                <w:b/>
                <w:bCs/>
              </w:rPr>
            </w:pPr>
            <w:r w:rsidRPr="49C67344">
              <w:rPr>
                <w:rFonts w:ascii="Aptos" w:hAnsi="Aptos"/>
                <w:b/>
                <w:bCs/>
              </w:rPr>
              <w:t>Contact</w:t>
            </w:r>
          </w:p>
        </w:tc>
        <w:tc>
          <w:tcPr>
            <w:tcW w:w="96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DFFD64E" w14:textId="57DB15C5" w:rsidR="49C67344" w:rsidRDefault="49C67344" w:rsidP="49C67344">
            <w:pPr>
              <w:rPr>
                <w:rFonts w:ascii="Aptos" w:hAnsi="Aptos"/>
                <w:b/>
                <w:bCs/>
              </w:rPr>
            </w:pPr>
          </w:p>
        </w:tc>
      </w:tr>
      <w:tr w:rsidR="49C67344" w14:paraId="3913A567" w14:textId="77777777" w:rsidTr="00601F81">
        <w:trPr>
          <w:trHeight w:val="300"/>
        </w:trPr>
        <w:tc>
          <w:tcPr>
            <w:tcW w:w="13876" w:type="dxa"/>
            <w:gridSpan w:val="2"/>
            <w:tcBorders>
              <w:top w:val="none" w:sz="4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160304B9" w14:textId="0054A460" w:rsidR="49C67344" w:rsidRDefault="49C67344" w:rsidP="49C67344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</w:tr>
      <w:tr w:rsidR="00382F2F" w:rsidRPr="004B768C" w14:paraId="40A81C5E" w14:textId="77777777" w:rsidTr="00601F81">
        <w:trPr>
          <w:trHeight w:val="550"/>
        </w:trPr>
        <w:tc>
          <w:tcPr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A2E5485" w14:textId="3005D0A6" w:rsidR="00645443" w:rsidRPr="004B768C" w:rsidRDefault="00382F2F" w:rsidP="00066667">
            <w:pPr>
              <w:autoSpaceDE w:val="0"/>
              <w:autoSpaceDN w:val="0"/>
              <w:adjustRightInd w:val="0"/>
              <w:rPr>
                <w:rFonts w:ascii="Aptos" w:hAnsi="Aptos"/>
                <w:b/>
              </w:rPr>
            </w:pPr>
            <w:r w:rsidRPr="004B768C">
              <w:rPr>
                <w:rFonts w:ascii="Aptos" w:hAnsi="Aptos"/>
                <w:b/>
              </w:rPr>
              <w:t>Date of transfer:</w:t>
            </w:r>
            <w:r w:rsidR="00066667">
              <w:rPr>
                <w:rFonts w:ascii="Aptos" w:hAnsi="Aptos"/>
                <w:b/>
              </w:rPr>
              <w:t xml:space="preserve"> </w:t>
            </w:r>
            <w:r w:rsidR="00645443" w:rsidRPr="0010092B">
              <w:rPr>
                <w:rFonts w:ascii="Aptos" w:hAnsi="Aptos" w:cs="ECSquareSansPro"/>
                <w:i/>
                <w:iCs/>
                <w:color w:val="984806" w:themeColor="accent6" w:themeShade="80"/>
                <w:sz w:val="20"/>
                <w:szCs w:val="20"/>
                <w:lang w:val="en-AU"/>
              </w:rPr>
              <w:t>(specify both transfer out, and transfer into recipient if different)</w:t>
            </w:r>
          </w:p>
        </w:tc>
        <w:tc>
          <w:tcPr>
            <w:tcW w:w="962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6D42C9" w14:textId="77777777" w:rsidR="00382F2F" w:rsidRPr="004B768C" w:rsidRDefault="00382F2F" w:rsidP="00F677DE">
            <w:pPr>
              <w:rPr>
                <w:rFonts w:ascii="Aptos" w:hAnsi="Aptos"/>
                <w:b/>
              </w:rPr>
            </w:pPr>
          </w:p>
        </w:tc>
      </w:tr>
    </w:tbl>
    <w:p w14:paraId="3A86AEE8" w14:textId="154BDF48" w:rsidR="00C752AE" w:rsidRPr="004B768C" w:rsidRDefault="00645443" w:rsidP="00601F81">
      <w:pPr>
        <w:keepNext/>
        <w:pBdr>
          <w:bottom w:val="single" w:sz="4" w:space="1" w:color="auto"/>
        </w:pBdr>
        <w:spacing w:before="240"/>
        <w:rPr>
          <w:rFonts w:ascii="Aptos" w:hAnsi="Aptos"/>
          <w:b/>
          <w:bCs/>
        </w:rPr>
      </w:pPr>
      <w:r w:rsidRPr="004B768C">
        <w:rPr>
          <w:rFonts w:ascii="Aptos" w:hAnsi="Aptos"/>
          <w:b/>
          <w:bCs/>
        </w:rPr>
        <w:t>Asset register</w:t>
      </w:r>
    </w:p>
    <w:p w14:paraId="0C9E9675" w14:textId="77777777" w:rsidR="00645443" w:rsidRPr="004B768C" w:rsidRDefault="00645443" w:rsidP="00F677DE">
      <w:pPr>
        <w:rPr>
          <w:rFonts w:ascii="Aptos" w:hAnsi="Aptos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36"/>
        <w:gridCol w:w="3003"/>
        <w:gridCol w:w="1675"/>
        <w:gridCol w:w="1395"/>
        <w:gridCol w:w="1078"/>
        <w:gridCol w:w="1078"/>
        <w:gridCol w:w="1153"/>
        <w:gridCol w:w="1486"/>
        <w:gridCol w:w="3050"/>
      </w:tblGrid>
      <w:tr w:rsidR="00390C4B" w:rsidRPr="004B768C" w14:paraId="632919B4" w14:textId="02959CD1" w:rsidTr="00601F81">
        <w:trPr>
          <w:trHeight w:val="300"/>
        </w:trPr>
        <w:tc>
          <w:tcPr>
            <w:tcW w:w="536" w:type="dxa"/>
          </w:tcPr>
          <w:p w14:paraId="5BF0D41E" w14:textId="6E2AF006" w:rsidR="00390C4B" w:rsidRPr="004B768C" w:rsidRDefault="5576B778" w:rsidP="49C67344">
            <w:pPr>
              <w:spacing w:line="259" w:lineRule="auto"/>
            </w:pPr>
            <w:r w:rsidRPr="49C67344">
              <w:rPr>
                <w:rFonts w:ascii="Aptos" w:hAnsi="Aptos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03" w:type="dxa"/>
          </w:tcPr>
          <w:p w14:paraId="491A84E6" w14:textId="77777777" w:rsidR="00390C4B" w:rsidRPr="004B768C" w:rsidRDefault="00390C4B" w:rsidP="002E026B">
            <w:pPr>
              <w:rPr>
                <w:rFonts w:ascii="Aptos" w:hAnsi="Aptos"/>
                <w:b/>
                <w:sz w:val="20"/>
                <w:szCs w:val="22"/>
              </w:rPr>
            </w:pPr>
            <w:r w:rsidRPr="004B768C">
              <w:rPr>
                <w:rFonts w:ascii="Aptos" w:hAnsi="Aptos"/>
                <w:b/>
                <w:sz w:val="20"/>
                <w:szCs w:val="22"/>
              </w:rPr>
              <w:t xml:space="preserve">Description </w:t>
            </w:r>
          </w:p>
          <w:p w14:paraId="41067AEF" w14:textId="2C3D99B5" w:rsidR="00390C4B" w:rsidRPr="0010092B" w:rsidRDefault="00390C4B" w:rsidP="004B768C">
            <w:pPr>
              <w:autoSpaceDE w:val="0"/>
              <w:autoSpaceDN w:val="0"/>
              <w:adjustRightInd w:val="0"/>
              <w:rPr>
                <w:rFonts w:ascii="Aptos" w:hAnsi="Aptos"/>
                <w:b/>
                <w:i/>
                <w:iCs/>
              </w:rPr>
            </w:pPr>
            <w:r w:rsidRPr="0010092B">
              <w:rPr>
                <w:rFonts w:ascii="Aptos" w:hAnsi="Aptos" w:cs="ECSquareSansPro"/>
                <w:i/>
                <w:iCs/>
                <w:color w:val="984806" w:themeColor="accent6" w:themeShade="80"/>
                <w:sz w:val="20"/>
                <w:szCs w:val="20"/>
                <w:lang w:val="en-AU"/>
              </w:rPr>
              <w:t>(Name, model, manufacturer)</w:t>
            </w:r>
          </w:p>
        </w:tc>
        <w:tc>
          <w:tcPr>
            <w:tcW w:w="1675" w:type="dxa"/>
          </w:tcPr>
          <w:p w14:paraId="35800239" w14:textId="6082C4CE" w:rsidR="20AD03AA" w:rsidRDefault="271DCC50" w:rsidP="49C6734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49C67344">
              <w:rPr>
                <w:rFonts w:ascii="Aptos" w:hAnsi="Aptos"/>
                <w:b/>
                <w:bCs/>
                <w:sz w:val="20"/>
                <w:szCs w:val="20"/>
              </w:rPr>
              <w:t>Transferor</w:t>
            </w:r>
            <w:r w:rsidR="20AD03AA" w:rsidRPr="49C67344">
              <w:rPr>
                <w:rFonts w:ascii="Aptos" w:hAnsi="Aptos"/>
                <w:b/>
                <w:bCs/>
                <w:sz w:val="20"/>
                <w:szCs w:val="20"/>
              </w:rPr>
              <w:t xml:space="preserve"> Asset ID</w:t>
            </w:r>
          </w:p>
        </w:tc>
        <w:tc>
          <w:tcPr>
            <w:tcW w:w="1395" w:type="dxa"/>
          </w:tcPr>
          <w:p w14:paraId="0976D46F" w14:textId="77777777" w:rsidR="00390C4B" w:rsidRPr="004B768C" w:rsidRDefault="00390C4B" w:rsidP="00F677DE">
            <w:pPr>
              <w:rPr>
                <w:rFonts w:ascii="Aptos" w:hAnsi="Aptos"/>
                <w:b/>
                <w:sz w:val="20"/>
                <w:szCs w:val="22"/>
              </w:rPr>
            </w:pPr>
            <w:r w:rsidRPr="004B768C">
              <w:rPr>
                <w:rFonts w:ascii="Aptos" w:hAnsi="Aptos"/>
                <w:b/>
                <w:sz w:val="20"/>
                <w:szCs w:val="22"/>
              </w:rPr>
              <w:t>Serial number</w:t>
            </w:r>
          </w:p>
          <w:p w14:paraId="0AB17925" w14:textId="523E7C29" w:rsidR="00390C4B" w:rsidRPr="004B768C" w:rsidRDefault="00390C4B" w:rsidP="004B768C">
            <w:pPr>
              <w:autoSpaceDE w:val="0"/>
              <w:autoSpaceDN w:val="0"/>
              <w:adjustRightInd w:val="0"/>
              <w:rPr>
                <w:rFonts w:ascii="Aptos" w:hAnsi="Aptos"/>
                <w:b/>
              </w:rPr>
            </w:pPr>
            <w:r w:rsidRPr="0010092B">
              <w:rPr>
                <w:rFonts w:ascii="Aptos" w:hAnsi="Aptos" w:cs="ECSquareSansPro"/>
                <w:sz w:val="20"/>
                <w:szCs w:val="20"/>
                <w:lang w:val="en-AU"/>
              </w:rPr>
              <w:lastRenderedPageBreak/>
              <w:t>(if relevant)</w:t>
            </w:r>
          </w:p>
        </w:tc>
        <w:tc>
          <w:tcPr>
            <w:tcW w:w="1078" w:type="dxa"/>
          </w:tcPr>
          <w:p w14:paraId="30A6FC37" w14:textId="3882BDA0" w:rsidR="00390C4B" w:rsidRPr="004B768C" w:rsidRDefault="00390C4B" w:rsidP="00F677DE">
            <w:pPr>
              <w:rPr>
                <w:rFonts w:ascii="Aptos" w:hAnsi="Aptos"/>
                <w:b/>
                <w:sz w:val="20"/>
                <w:szCs w:val="22"/>
              </w:rPr>
            </w:pPr>
            <w:r w:rsidRPr="004B768C">
              <w:rPr>
                <w:rFonts w:ascii="Aptos" w:hAnsi="Aptos"/>
                <w:b/>
                <w:sz w:val="20"/>
                <w:szCs w:val="22"/>
              </w:rPr>
              <w:lastRenderedPageBreak/>
              <w:t>Date of Purchase</w:t>
            </w:r>
          </w:p>
        </w:tc>
        <w:tc>
          <w:tcPr>
            <w:tcW w:w="1078" w:type="dxa"/>
          </w:tcPr>
          <w:p w14:paraId="11269835" w14:textId="159817B7" w:rsidR="00390C4B" w:rsidRPr="004B768C" w:rsidRDefault="695584EA" w:rsidP="5D034E3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5D034E36">
              <w:rPr>
                <w:rFonts w:ascii="Aptos" w:hAnsi="Aptos"/>
                <w:b/>
                <w:bCs/>
                <w:sz w:val="20"/>
                <w:szCs w:val="20"/>
              </w:rPr>
              <w:t>Purchase Cost</w:t>
            </w:r>
            <w:r w:rsidR="3FB342BB" w:rsidRPr="5D034E36">
              <w:rPr>
                <w:rFonts w:ascii="Aptos" w:hAnsi="Aptos"/>
                <w:b/>
                <w:bCs/>
                <w:sz w:val="20"/>
                <w:szCs w:val="20"/>
              </w:rPr>
              <w:t xml:space="preserve">, </w:t>
            </w:r>
            <w:r w:rsidR="3FB342BB" w:rsidRPr="5D034E36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incl. tax</w:t>
            </w:r>
            <w:r w:rsidRPr="5D034E36">
              <w:rPr>
                <w:rFonts w:ascii="Aptos" w:hAnsi="Aptos"/>
                <w:b/>
                <w:bCs/>
                <w:sz w:val="20"/>
                <w:szCs w:val="20"/>
              </w:rPr>
              <w:t xml:space="preserve"> (USD)</w:t>
            </w:r>
          </w:p>
        </w:tc>
        <w:tc>
          <w:tcPr>
            <w:tcW w:w="1153" w:type="dxa"/>
          </w:tcPr>
          <w:p w14:paraId="4DBBAAF1" w14:textId="07EF3F52" w:rsidR="00390C4B" w:rsidRPr="004B768C" w:rsidRDefault="695584EA" w:rsidP="5D034E3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5D034E36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Net Book Value</w:t>
            </w:r>
            <w:r w:rsidR="3DC15436" w:rsidRPr="5D034E36">
              <w:rPr>
                <w:rFonts w:ascii="Aptos" w:hAnsi="Aptos"/>
                <w:b/>
                <w:bCs/>
                <w:sz w:val="20"/>
                <w:szCs w:val="20"/>
              </w:rPr>
              <w:t xml:space="preserve">, </w:t>
            </w:r>
            <w:r w:rsidR="3DC15436" w:rsidRPr="5D034E36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incl. tax</w:t>
            </w:r>
            <w:r w:rsidRPr="5D034E36">
              <w:rPr>
                <w:rFonts w:ascii="Aptos" w:hAnsi="Aptos"/>
                <w:b/>
                <w:bCs/>
                <w:sz w:val="20"/>
                <w:szCs w:val="20"/>
              </w:rPr>
              <w:t xml:space="preserve"> (USD)</w:t>
            </w:r>
          </w:p>
        </w:tc>
        <w:tc>
          <w:tcPr>
            <w:tcW w:w="1486" w:type="dxa"/>
          </w:tcPr>
          <w:p w14:paraId="4E96050C" w14:textId="080FFBB0" w:rsidR="19D29AE0" w:rsidRDefault="19D29AE0" w:rsidP="49C6734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49C67344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Asset Location</w:t>
            </w:r>
          </w:p>
        </w:tc>
        <w:tc>
          <w:tcPr>
            <w:tcW w:w="3050" w:type="dxa"/>
          </w:tcPr>
          <w:p w14:paraId="40ADA962" w14:textId="2F1C684A" w:rsidR="00390C4B" w:rsidRPr="004B768C" w:rsidRDefault="00390C4B" w:rsidP="00F677DE">
            <w:pPr>
              <w:rPr>
                <w:rFonts w:ascii="Aptos" w:hAnsi="Aptos"/>
                <w:b/>
                <w:sz w:val="20"/>
                <w:szCs w:val="22"/>
              </w:rPr>
            </w:pPr>
            <w:r w:rsidRPr="004B768C">
              <w:rPr>
                <w:rFonts w:ascii="Aptos" w:hAnsi="Aptos"/>
                <w:b/>
                <w:sz w:val="20"/>
                <w:szCs w:val="22"/>
              </w:rPr>
              <w:t>Comments</w:t>
            </w:r>
          </w:p>
        </w:tc>
      </w:tr>
      <w:tr w:rsidR="00390C4B" w:rsidRPr="004B768C" w14:paraId="73599892" w14:textId="6147FBEE" w:rsidTr="00601F81">
        <w:trPr>
          <w:trHeight w:val="300"/>
        </w:trPr>
        <w:tc>
          <w:tcPr>
            <w:tcW w:w="536" w:type="dxa"/>
          </w:tcPr>
          <w:p w14:paraId="3ACBEF46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  <w:r w:rsidRPr="004B768C">
              <w:rPr>
                <w:rFonts w:ascii="Aptos" w:hAnsi="Aptos"/>
                <w:sz w:val="20"/>
                <w:szCs w:val="22"/>
              </w:rPr>
              <w:t>1.</w:t>
            </w:r>
          </w:p>
        </w:tc>
        <w:tc>
          <w:tcPr>
            <w:tcW w:w="3003" w:type="dxa"/>
          </w:tcPr>
          <w:p w14:paraId="3CA724F3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675" w:type="dxa"/>
          </w:tcPr>
          <w:p w14:paraId="667290FF" w14:textId="18392975" w:rsidR="49C67344" w:rsidRDefault="49C67344" w:rsidP="49C6734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BB3ED62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078" w:type="dxa"/>
          </w:tcPr>
          <w:p w14:paraId="734153EB" w14:textId="558147FF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078" w:type="dxa"/>
          </w:tcPr>
          <w:p w14:paraId="2C3D4FD0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153" w:type="dxa"/>
          </w:tcPr>
          <w:p w14:paraId="2B2AC5D9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486" w:type="dxa"/>
          </w:tcPr>
          <w:p w14:paraId="453AF069" w14:textId="48218600" w:rsidR="49C67344" w:rsidRDefault="49C67344" w:rsidP="49C6734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050" w:type="dxa"/>
          </w:tcPr>
          <w:p w14:paraId="2198B673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</w:tr>
      <w:tr w:rsidR="00390C4B" w:rsidRPr="004B768C" w14:paraId="13CDA1EB" w14:textId="7A9C1D36" w:rsidTr="00601F81">
        <w:trPr>
          <w:trHeight w:val="300"/>
        </w:trPr>
        <w:tc>
          <w:tcPr>
            <w:tcW w:w="536" w:type="dxa"/>
          </w:tcPr>
          <w:p w14:paraId="4F3F084F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  <w:r w:rsidRPr="004B768C">
              <w:rPr>
                <w:rFonts w:ascii="Aptos" w:hAnsi="Aptos"/>
                <w:sz w:val="20"/>
                <w:szCs w:val="22"/>
              </w:rPr>
              <w:t>2.</w:t>
            </w:r>
          </w:p>
        </w:tc>
        <w:tc>
          <w:tcPr>
            <w:tcW w:w="3003" w:type="dxa"/>
          </w:tcPr>
          <w:p w14:paraId="402E8E80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675" w:type="dxa"/>
          </w:tcPr>
          <w:p w14:paraId="5582C4B1" w14:textId="54F8EF29" w:rsidR="49C67344" w:rsidRDefault="49C67344" w:rsidP="49C6734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4D7CD88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078" w:type="dxa"/>
          </w:tcPr>
          <w:p w14:paraId="551D8922" w14:textId="20A6AA16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078" w:type="dxa"/>
          </w:tcPr>
          <w:p w14:paraId="6922C5E0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153" w:type="dxa"/>
          </w:tcPr>
          <w:p w14:paraId="25E11618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486" w:type="dxa"/>
          </w:tcPr>
          <w:p w14:paraId="3200EC95" w14:textId="0064DD05" w:rsidR="49C67344" w:rsidRDefault="49C67344" w:rsidP="49C6734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050" w:type="dxa"/>
          </w:tcPr>
          <w:p w14:paraId="52198CBD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</w:tr>
      <w:tr w:rsidR="00390C4B" w:rsidRPr="004B768C" w14:paraId="66009C86" w14:textId="39390CB2" w:rsidTr="00601F81">
        <w:trPr>
          <w:trHeight w:val="300"/>
        </w:trPr>
        <w:tc>
          <w:tcPr>
            <w:tcW w:w="536" w:type="dxa"/>
          </w:tcPr>
          <w:p w14:paraId="52C97F60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  <w:r w:rsidRPr="004B768C">
              <w:rPr>
                <w:rFonts w:ascii="Aptos" w:hAnsi="Aptos"/>
                <w:sz w:val="20"/>
                <w:szCs w:val="22"/>
              </w:rPr>
              <w:t>3.</w:t>
            </w:r>
          </w:p>
        </w:tc>
        <w:tc>
          <w:tcPr>
            <w:tcW w:w="3003" w:type="dxa"/>
          </w:tcPr>
          <w:p w14:paraId="172858E6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675" w:type="dxa"/>
          </w:tcPr>
          <w:p w14:paraId="109D39A5" w14:textId="3F75CB74" w:rsidR="49C67344" w:rsidRDefault="49C67344" w:rsidP="49C6734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95" w:type="dxa"/>
          </w:tcPr>
          <w:p w14:paraId="27E1A47E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078" w:type="dxa"/>
          </w:tcPr>
          <w:p w14:paraId="01E72CED" w14:textId="55F4B571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078" w:type="dxa"/>
          </w:tcPr>
          <w:p w14:paraId="1CB32A82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153" w:type="dxa"/>
          </w:tcPr>
          <w:p w14:paraId="340046A4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  <w:tc>
          <w:tcPr>
            <w:tcW w:w="1486" w:type="dxa"/>
          </w:tcPr>
          <w:p w14:paraId="29842080" w14:textId="7224DF64" w:rsidR="49C67344" w:rsidRDefault="49C67344" w:rsidP="49C6734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050" w:type="dxa"/>
          </w:tcPr>
          <w:p w14:paraId="5CA8E0EE" w14:textId="77777777" w:rsidR="00390C4B" w:rsidRPr="004B768C" w:rsidRDefault="00390C4B" w:rsidP="00F677DE">
            <w:pPr>
              <w:rPr>
                <w:rFonts w:ascii="Aptos" w:hAnsi="Aptos"/>
                <w:sz w:val="20"/>
                <w:szCs w:val="22"/>
              </w:rPr>
            </w:pPr>
          </w:p>
        </w:tc>
      </w:tr>
    </w:tbl>
    <w:p w14:paraId="51F6BF66" w14:textId="320FD22D" w:rsidR="00390C4B" w:rsidRPr="004B768C" w:rsidRDefault="00382F2F" w:rsidP="0094576E">
      <w:pPr>
        <w:pBdr>
          <w:bottom w:val="single" w:sz="4" w:space="1" w:color="auto"/>
        </w:pBdr>
        <w:spacing w:before="120"/>
        <w:rPr>
          <w:rFonts w:ascii="Aptos" w:hAnsi="Aptos"/>
        </w:rPr>
      </w:pPr>
      <w:r w:rsidRPr="004B768C">
        <w:rPr>
          <w:rFonts w:ascii="Aptos" w:hAnsi="Aptos"/>
          <w:b/>
          <w:bCs/>
        </w:rPr>
        <w:t xml:space="preserve">Acknowledgement of </w:t>
      </w:r>
      <w:r w:rsidR="00F87D5E" w:rsidRPr="004B768C">
        <w:rPr>
          <w:rFonts w:ascii="Aptos" w:hAnsi="Aptos"/>
          <w:b/>
          <w:bCs/>
        </w:rPr>
        <w:t xml:space="preserve">transfer of </w:t>
      </w:r>
      <w:r w:rsidR="001B711C" w:rsidRPr="004B768C">
        <w:rPr>
          <w:rFonts w:ascii="Aptos" w:hAnsi="Aptos"/>
          <w:b/>
          <w:bCs/>
        </w:rPr>
        <w:t>Assets</w:t>
      </w:r>
      <w:r w:rsidRPr="004B768C">
        <w:rPr>
          <w:rFonts w:ascii="Aptos" w:hAnsi="Aptos"/>
        </w:rPr>
        <w:t xml:space="preserve"> </w:t>
      </w:r>
    </w:p>
    <w:p w14:paraId="69469791" w14:textId="506E86AC" w:rsidR="00645443" w:rsidRPr="004B768C" w:rsidRDefault="00645443" w:rsidP="00645443">
      <w:pPr>
        <w:spacing w:before="120"/>
        <w:rPr>
          <w:rFonts w:ascii="Aptos" w:hAnsi="Aptos"/>
        </w:rPr>
      </w:pPr>
      <w:r w:rsidRPr="004B768C">
        <w:rPr>
          <w:rFonts w:ascii="Aptos" w:hAnsi="Aptos"/>
        </w:rPr>
        <w:t xml:space="preserve">We acknowledge the transfer of the assets listed in the above asset register from the Transferor to </w:t>
      </w:r>
      <w:r w:rsidRPr="004B768C">
        <w:rPr>
          <w:rFonts w:ascii="Aptos" w:hAnsi="Aptos"/>
          <w:highlight w:val="lightGray"/>
        </w:rPr>
        <w:t>[</w:t>
      </w:r>
      <w:r w:rsidR="008F7DD3" w:rsidRPr="004B768C">
        <w:rPr>
          <w:rFonts w:ascii="Aptos" w:hAnsi="Aptos"/>
          <w:highlight w:val="lightGray"/>
        </w:rPr>
        <w:t>local</w:t>
      </w:r>
      <w:r w:rsidRPr="004B768C">
        <w:rPr>
          <w:rFonts w:ascii="Aptos" w:hAnsi="Aptos"/>
          <w:highlight w:val="lightGray"/>
        </w:rPr>
        <w:t>/f</w:t>
      </w:r>
      <w:r w:rsidR="008F7DD3" w:rsidRPr="004B768C">
        <w:rPr>
          <w:rFonts w:ascii="Aptos" w:hAnsi="Aptos"/>
          <w:highlight w:val="lightGray"/>
        </w:rPr>
        <w:t xml:space="preserve">inal </w:t>
      </w:r>
      <w:r w:rsidRPr="004B768C">
        <w:rPr>
          <w:rFonts w:ascii="Aptos" w:hAnsi="Aptos"/>
          <w:highlight w:val="lightGray"/>
        </w:rPr>
        <w:t>b</w:t>
      </w:r>
      <w:r w:rsidR="008F7DD3" w:rsidRPr="004B768C">
        <w:rPr>
          <w:rFonts w:ascii="Aptos" w:hAnsi="Aptos"/>
          <w:highlight w:val="lightGray"/>
        </w:rPr>
        <w:t>eneficiary</w:t>
      </w:r>
      <w:r w:rsidRPr="004B768C">
        <w:rPr>
          <w:rFonts w:ascii="Aptos" w:hAnsi="Aptos"/>
          <w:highlight w:val="lightGray"/>
        </w:rPr>
        <w:t xml:space="preserve"> name].</w:t>
      </w:r>
      <w:r w:rsidR="004B768C">
        <w:rPr>
          <w:rFonts w:ascii="Aptos" w:hAnsi="Aptos"/>
        </w:rPr>
        <w:t xml:space="preserve">  </w:t>
      </w:r>
      <w:r w:rsidRPr="004B768C">
        <w:rPr>
          <w:rFonts w:ascii="Aptos" w:hAnsi="Aptos"/>
        </w:rPr>
        <w:t>We commit that:</w:t>
      </w:r>
    </w:p>
    <w:p w14:paraId="75510F65" w14:textId="42648660" w:rsidR="00645443" w:rsidRPr="00645443" w:rsidRDefault="00066667" w:rsidP="00645443">
      <w:pPr>
        <w:numPr>
          <w:ilvl w:val="0"/>
          <w:numId w:val="3"/>
        </w:numPr>
        <w:spacing w:before="120"/>
        <w:rPr>
          <w:rFonts w:ascii="Aptos" w:hAnsi="Aptos"/>
        </w:rPr>
      </w:pPr>
      <w:r>
        <w:rPr>
          <w:rFonts w:ascii="Aptos" w:hAnsi="Aptos"/>
        </w:rPr>
        <w:t>The asset will be registered on our local asset register, and w</w:t>
      </w:r>
      <w:r w:rsidR="00645443" w:rsidRPr="004B768C">
        <w:rPr>
          <w:rFonts w:ascii="Aptos" w:hAnsi="Aptos"/>
        </w:rPr>
        <w:t xml:space="preserve">e have adequate controls in place to ensure the asset is </w:t>
      </w:r>
      <w:r w:rsidR="00645443" w:rsidRPr="00645443">
        <w:rPr>
          <w:rFonts w:ascii="Aptos" w:hAnsi="Aptos"/>
        </w:rPr>
        <w:t>use</w:t>
      </w:r>
      <w:r w:rsidR="00645443" w:rsidRPr="004B768C">
        <w:rPr>
          <w:rFonts w:ascii="Aptos" w:hAnsi="Aptos"/>
        </w:rPr>
        <w:t>d as intended.</w:t>
      </w:r>
    </w:p>
    <w:p w14:paraId="41C88616" w14:textId="098A5A26" w:rsidR="00645443" w:rsidRPr="00645443" w:rsidRDefault="00645443" w:rsidP="00645443">
      <w:pPr>
        <w:numPr>
          <w:ilvl w:val="0"/>
          <w:numId w:val="3"/>
        </w:numPr>
        <w:spacing w:before="120"/>
        <w:rPr>
          <w:rFonts w:ascii="Aptos" w:hAnsi="Aptos"/>
        </w:rPr>
      </w:pPr>
      <w:r w:rsidRPr="004B768C">
        <w:rPr>
          <w:rFonts w:ascii="Aptos" w:hAnsi="Aptos"/>
        </w:rPr>
        <w:t>We</w:t>
      </w:r>
      <w:r w:rsidRPr="00645443">
        <w:rPr>
          <w:rFonts w:ascii="Aptos" w:hAnsi="Aptos"/>
        </w:rPr>
        <w:t xml:space="preserve"> ha</w:t>
      </w:r>
      <w:r w:rsidRPr="004B768C">
        <w:rPr>
          <w:rFonts w:ascii="Aptos" w:hAnsi="Aptos"/>
        </w:rPr>
        <w:t>ve access to</w:t>
      </w:r>
      <w:r w:rsidRPr="00645443">
        <w:rPr>
          <w:rFonts w:ascii="Aptos" w:hAnsi="Aptos"/>
        </w:rPr>
        <w:t xml:space="preserve"> adequate resources to maintain and operate the asset, including the purchase of any consumables </w:t>
      </w:r>
      <w:r w:rsidRPr="004B768C">
        <w:rPr>
          <w:rFonts w:ascii="Aptos" w:hAnsi="Aptos"/>
        </w:rPr>
        <w:t>(where relevant).</w:t>
      </w:r>
    </w:p>
    <w:p w14:paraId="44CCBF27" w14:textId="1BB11D21" w:rsidR="00645443" w:rsidRPr="00645443" w:rsidRDefault="00645443" w:rsidP="00645443">
      <w:pPr>
        <w:numPr>
          <w:ilvl w:val="0"/>
          <w:numId w:val="3"/>
        </w:numPr>
        <w:spacing w:before="120"/>
        <w:rPr>
          <w:rFonts w:ascii="Aptos" w:hAnsi="Aptos"/>
        </w:rPr>
      </w:pPr>
      <w:r w:rsidRPr="00645443">
        <w:rPr>
          <w:rFonts w:ascii="Aptos" w:hAnsi="Aptos"/>
        </w:rPr>
        <w:t>The item will not be sold or disposed of, or diverted for another purpose, within a reasonable time period</w:t>
      </w:r>
      <w:r w:rsidRPr="004B768C">
        <w:rPr>
          <w:rFonts w:ascii="Aptos" w:hAnsi="Aptos"/>
        </w:rPr>
        <w:t>.</w:t>
      </w:r>
    </w:p>
    <w:p w14:paraId="7DCE07BE" w14:textId="48CB6FD8" w:rsidR="00645443" w:rsidRPr="004B768C" w:rsidRDefault="00645443" w:rsidP="00645443">
      <w:pPr>
        <w:numPr>
          <w:ilvl w:val="0"/>
          <w:numId w:val="3"/>
        </w:numPr>
        <w:spacing w:before="120"/>
        <w:rPr>
          <w:rFonts w:ascii="Aptos" w:hAnsi="Aptos"/>
        </w:rPr>
      </w:pPr>
      <w:r w:rsidRPr="004B768C">
        <w:rPr>
          <w:rFonts w:ascii="Aptos" w:hAnsi="Aptos"/>
        </w:rPr>
        <w:t>We</w:t>
      </w:r>
      <w:r w:rsidRPr="00645443">
        <w:rPr>
          <w:rFonts w:ascii="Aptos" w:hAnsi="Aptos"/>
        </w:rPr>
        <w:t xml:space="preserve"> will remove </w:t>
      </w:r>
      <w:r w:rsidRPr="004B768C">
        <w:rPr>
          <w:rFonts w:ascii="Aptos" w:hAnsi="Aptos"/>
        </w:rPr>
        <w:t>WRP</w:t>
      </w:r>
      <w:r w:rsidRPr="00645443">
        <w:rPr>
          <w:rFonts w:ascii="Aptos" w:hAnsi="Aptos"/>
        </w:rPr>
        <w:t xml:space="preserve"> branding from all assets being transferred or disposed</w:t>
      </w:r>
      <w:r w:rsidRPr="004B768C">
        <w:rPr>
          <w:rFonts w:ascii="Aptos" w:hAnsi="Aptos"/>
        </w:rPr>
        <w:t>.</w:t>
      </w:r>
    </w:p>
    <w:p w14:paraId="2DD4EB85" w14:textId="77777777" w:rsidR="004B768C" w:rsidRPr="00645443" w:rsidRDefault="004B768C" w:rsidP="004B768C">
      <w:pPr>
        <w:numPr>
          <w:ilvl w:val="0"/>
          <w:numId w:val="3"/>
        </w:numPr>
        <w:spacing w:before="120"/>
        <w:rPr>
          <w:rFonts w:ascii="Aptos" w:hAnsi="Aptos"/>
        </w:rPr>
      </w:pPr>
      <w:r w:rsidRPr="004B768C">
        <w:rPr>
          <w:rFonts w:ascii="Aptos" w:hAnsi="Aptos"/>
        </w:rPr>
        <w:t>If disposing of the asset, we will make reasonable efforts to minimise negative impacts on the environment.</w:t>
      </w:r>
    </w:p>
    <w:p w14:paraId="597BD1DA" w14:textId="4F5972B0" w:rsidR="004B768C" w:rsidRPr="00645443" w:rsidRDefault="004B768C" w:rsidP="004B768C">
      <w:pPr>
        <w:numPr>
          <w:ilvl w:val="0"/>
          <w:numId w:val="3"/>
        </w:numPr>
        <w:spacing w:before="120"/>
        <w:rPr>
          <w:rFonts w:ascii="Aptos" w:hAnsi="Aptos"/>
        </w:rPr>
      </w:pPr>
      <w:r w:rsidRPr="004B768C">
        <w:rPr>
          <w:rFonts w:ascii="Aptos" w:hAnsi="Aptos"/>
        </w:rPr>
        <w:t xml:space="preserve">If disposing </w:t>
      </w:r>
      <w:r w:rsidRPr="00645443">
        <w:rPr>
          <w:rFonts w:ascii="Aptos" w:hAnsi="Aptos"/>
        </w:rPr>
        <w:t>I</w:t>
      </w:r>
      <w:r w:rsidRPr="004B768C">
        <w:rPr>
          <w:rFonts w:ascii="Aptos" w:hAnsi="Aptos"/>
        </w:rPr>
        <w:t>C</w:t>
      </w:r>
      <w:r w:rsidRPr="00645443">
        <w:rPr>
          <w:rFonts w:ascii="Aptos" w:hAnsi="Aptos"/>
        </w:rPr>
        <w:t>T equipment</w:t>
      </w:r>
      <w:r w:rsidRPr="004B768C">
        <w:rPr>
          <w:rFonts w:ascii="Aptos" w:hAnsi="Aptos"/>
        </w:rPr>
        <w:t>, it will be</w:t>
      </w:r>
      <w:r w:rsidRPr="00645443">
        <w:rPr>
          <w:rFonts w:ascii="Aptos" w:hAnsi="Aptos"/>
        </w:rPr>
        <w:t xml:space="preserve"> disposed of in line with applicable law, and all personal data will be removed.</w:t>
      </w:r>
    </w:p>
    <w:p w14:paraId="3A0B5ED6" w14:textId="1078421A" w:rsidR="00FF2EF2" w:rsidRDefault="00645443" w:rsidP="00066667">
      <w:pPr>
        <w:numPr>
          <w:ilvl w:val="0"/>
          <w:numId w:val="3"/>
        </w:numPr>
        <w:spacing w:before="120" w:after="120"/>
        <w:ind w:left="357" w:hanging="357"/>
        <w:rPr>
          <w:rFonts w:ascii="Aptos" w:hAnsi="Aptos"/>
        </w:rPr>
      </w:pPr>
      <w:r w:rsidRPr="00645443">
        <w:rPr>
          <w:rFonts w:ascii="Aptos" w:hAnsi="Aptos"/>
        </w:rPr>
        <w:t>Any local duties and taxes, or any other formalities, will be met on transfer</w:t>
      </w:r>
      <w:r w:rsidR="004B768C" w:rsidRPr="004B768C">
        <w:rPr>
          <w:rFonts w:ascii="Aptos" w:hAnsi="Aptos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2552"/>
        <w:gridCol w:w="283"/>
        <w:gridCol w:w="1843"/>
        <w:gridCol w:w="2693"/>
      </w:tblGrid>
      <w:tr w:rsidR="00066667" w14:paraId="02148C6A" w14:textId="77777777" w:rsidTr="00066667">
        <w:tc>
          <w:tcPr>
            <w:tcW w:w="1838" w:type="dxa"/>
          </w:tcPr>
          <w:p w14:paraId="3945914C" w14:textId="77777777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  <w:p w14:paraId="6079DAC4" w14:textId="74A356CB" w:rsidR="00066667" w:rsidRDefault="00066667" w:rsidP="004B768C">
            <w:pPr>
              <w:spacing w:before="120"/>
              <w:rPr>
                <w:rFonts w:ascii="Aptos" w:hAnsi="Aptos"/>
              </w:rPr>
            </w:pPr>
            <w:r>
              <w:rPr>
                <w:rFonts w:ascii="Aptos" w:hAnsi="Aptos"/>
              </w:rPr>
              <w:t>Signature</w:t>
            </w:r>
          </w:p>
        </w:tc>
        <w:tc>
          <w:tcPr>
            <w:tcW w:w="2552" w:type="dxa"/>
          </w:tcPr>
          <w:p w14:paraId="1D6293D3" w14:textId="77777777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83" w:type="dxa"/>
          </w:tcPr>
          <w:p w14:paraId="3DCA7981" w14:textId="5305B7A2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0ED40D62" w14:textId="77777777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  <w:p w14:paraId="5A3835D1" w14:textId="3CE3EBA6" w:rsidR="00066667" w:rsidRDefault="00066667" w:rsidP="004B768C">
            <w:pPr>
              <w:spacing w:before="120"/>
              <w:rPr>
                <w:rFonts w:ascii="Aptos" w:hAnsi="Aptos"/>
              </w:rPr>
            </w:pPr>
            <w:r>
              <w:rPr>
                <w:rFonts w:ascii="Aptos" w:hAnsi="Aptos"/>
              </w:rPr>
              <w:t>Signature</w:t>
            </w:r>
          </w:p>
        </w:tc>
        <w:tc>
          <w:tcPr>
            <w:tcW w:w="2693" w:type="dxa"/>
          </w:tcPr>
          <w:p w14:paraId="1BA41DB6" w14:textId="4FAA7ADC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</w:tr>
      <w:tr w:rsidR="00066667" w14:paraId="5A5EC293" w14:textId="77777777" w:rsidTr="00066667">
        <w:tc>
          <w:tcPr>
            <w:tcW w:w="1838" w:type="dxa"/>
          </w:tcPr>
          <w:p w14:paraId="695B61F2" w14:textId="4FDF579F" w:rsidR="00066667" w:rsidRDefault="00066667" w:rsidP="004B768C">
            <w:pPr>
              <w:spacing w:before="120"/>
              <w:rPr>
                <w:rFonts w:ascii="Aptos" w:hAnsi="Aptos"/>
              </w:rPr>
            </w:pPr>
            <w:r w:rsidRPr="004B768C">
              <w:rPr>
                <w:rFonts w:ascii="Aptos" w:hAnsi="Aptos"/>
              </w:rPr>
              <w:t>Name</w:t>
            </w:r>
            <w:r w:rsidRPr="004B768C">
              <w:rPr>
                <w:rFonts w:ascii="Aptos" w:hAnsi="Aptos"/>
                <w:sz w:val="20"/>
                <w:szCs w:val="20"/>
              </w:rPr>
              <w:t xml:space="preserve"> (Transferor)</w:t>
            </w:r>
          </w:p>
        </w:tc>
        <w:tc>
          <w:tcPr>
            <w:tcW w:w="2552" w:type="dxa"/>
          </w:tcPr>
          <w:p w14:paraId="18600954" w14:textId="77777777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83" w:type="dxa"/>
          </w:tcPr>
          <w:p w14:paraId="71C97DE5" w14:textId="69CDD48D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6C1647A0" w14:textId="73478981" w:rsidR="00066667" w:rsidRDefault="00066667" w:rsidP="004B768C">
            <w:pPr>
              <w:spacing w:before="120"/>
              <w:rPr>
                <w:rFonts w:ascii="Aptos" w:hAnsi="Aptos"/>
              </w:rPr>
            </w:pPr>
            <w:r w:rsidRPr="004B768C">
              <w:rPr>
                <w:rFonts w:ascii="Aptos" w:hAnsi="Aptos"/>
              </w:rPr>
              <w:t xml:space="preserve">Name </w:t>
            </w:r>
            <w:r w:rsidRPr="004B768C">
              <w:rPr>
                <w:rFonts w:ascii="Aptos" w:hAnsi="Aptos"/>
                <w:sz w:val="20"/>
                <w:szCs w:val="20"/>
              </w:rPr>
              <w:t>(Recipient)</w:t>
            </w:r>
          </w:p>
        </w:tc>
        <w:tc>
          <w:tcPr>
            <w:tcW w:w="2693" w:type="dxa"/>
          </w:tcPr>
          <w:p w14:paraId="59EFAA22" w14:textId="033F8D75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</w:tr>
      <w:tr w:rsidR="00066667" w:rsidRPr="0094576E" w14:paraId="3166B6F0" w14:textId="77777777" w:rsidTr="00066667">
        <w:tc>
          <w:tcPr>
            <w:tcW w:w="1838" w:type="dxa"/>
          </w:tcPr>
          <w:p w14:paraId="005B74A5" w14:textId="133F92CC" w:rsidR="00066667" w:rsidRDefault="00066667" w:rsidP="004B768C">
            <w:pPr>
              <w:spacing w:before="120"/>
              <w:rPr>
                <w:rFonts w:ascii="Aptos" w:hAnsi="Aptos"/>
              </w:rPr>
            </w:pPr>
            <w:r w:rsidRPr="004B768C">
              <w:rPr>
                <w:rFonts w:ascii="Aptos" w:hAnsi="Aptos"/>
              </w:rPr>
              <w:t>Position, organisation</w:t>
            </w:r>
            <w:r w:rsidRPr="004B768C">
              <w:rPr>
                <w:rFonts w:ascii="Aptos" w:hAnsi="Aptos"/>
              </w:rPr>
              <w:tab/>
            </w:r>
          </w:p>
        </w:tc>
        <w:tc>
          <w:tcPr>
            <w:tcW w:w="2552" w:type="dxa"/>
          </w:tcPr>
          <w:p w14:paraId="79214B74" w14:textId="77777777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283" w:type="dxa"/>
          </w:tcPr>
          <w:p w14:paraId="4F969F5A" w14:textId="3752A8C4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DD7B5E6" w14:textId="601493D5" w:rsidR="00066667" w:rsidRDefault="00066667" w:rsidP="004B768C">
            <w:pPr>
              <w:spacing w:before="120"/>
              <w:rPr>
                <w:rFonts w:ascii="Aptos" w:hAnsi="Aptos"/>
              </w:rPr>
            </w:pPr>
            <w:r w:rsidRPr="004B768C">
              <w:rPr>
                <w:rFonts w:ascii="Aptos" w:hAnsi="Aptos"/>
              </w:rPr>
              <w:t>Position, organisation</w:t>
            </w:r>
          </w:p>
        </w:tc>
        <w:tc>
          <w:tcPr>
            <w:tcW w:w="2693" w:type="dxa"/>
          </w:tcPr>
          <w:p w14:paraId="606C2F7D" w14:textId="2DC6C747" w:rsidR="00066667" w:rsidRDefault="00066667" w:rsidP="004B768C">
            <w:pPr>
              <w:spacing w:before="120"/>
              <w:rPr>
                <w:rFonts w:ascii="Aptos" w:hAnsi="Aptos"/>
              </w:rPr>
            </w:pPr>
          </w:p>
        </w:tc>
      </w:tr>
    </w:tbl>
    <w:p w14:paraId="36B844A7" w14:textId="61D6FFBD" w:rsidR="00066667" w:rsidRPr="0094576E" w:rsidRDefault="004A2AD9" w:rsidP="0094576E">
      <w:pPr>
        <w:spacing w:before="120"/>
        <w:rPr>
          <w:rFonts w:ascii="Aptos" w:hAnsi="Aptos"/>
          <w:sz w:val="2"/>
          <w:szCs w:val="4"/>
        </w:rPr>
      </w:pPr>
      <w:r w:rsidRPr="0010092B">
        <w:rPr>
          <w:rFonts w:ascii="Aptos" w:hAnsi="Aptos" w:cs="ECSquareSansPro"/>
          <w:i/>
          <w:iCs/>
          <w:color w:val="984806" w:themeColor="accent6" w:themeShade="80"/>
          <w:sz w:val="20"/>
          <w:szCs w:val="20"/>
          <w:lang w:val="en-AU"/>
        </w:rPr>
        <w:t>(</w:t>
      </w:r>
      <w:r>
        <w:rPr>
          <w:rFonts w:ascii="Aptos" w:hAnsi="Aptos" w:cs="ECSquareSansPro"/>
          <w:i/>
          <w:iCs/>
          <w:color w:val="984806" w:themeColor="accent6" w:themeShade="80"/>
          <w:sz w:val="20"/>
          <w:szCs w:val="20"/>
          <w:lang w:val="en-AU"/>
        </w:rPr>
        <w:t>Ensure that signature pa</w:t>
      </w:r>
      <w:r w:rsidR="00BB679F">
        <w:rPr>
          <w:rFonts w:ascii="Aptos" w:hAnsi="Aptos" w:cs="ECSquareSansPro"/>
          <w:i/>
          <w:iCs/>
          <w:color w:val="984806" w:themeColor="accent6" w:themeShade="80"/>
          <w:sz w:val="20"/>
          <w:szCs w:val="20"/>
          <w:lang w:val="en-AU"/>
        </w:rPr>
        <w:t xml:space="preserve">ge is all together and with </w:t>
      </w:r>
      <w:r w:rsidR="00DD001B">
        <w:rPr>
          <w:rFonts w:ascii="Aptos" w:hAnsi="Aptos" w:cs="ECSquareSansPro"/>
          <w:i/>
          <w:iCs/>
          <w:color w:val="984806" w:themeColor="accent6" w:themeShade="80"/>
          <w:sz w:val="20"/>
          <w:szCs w:val="20"/>
          <w:lang w:val="en-AU"/>
        </w:rPr>
        <w:t>some of preceding text when finalising</w:t>
      </w:r>
      <w:r w:rsidRPr="0010092B">
        <w:rPr>
          <w:rFonts w:ascii="Aptos" w:hAnsi="Aptos" w:cs="ECSquareSansPro"/>
          <w:i/>
          <w:iCs/>
          <w:color w:val="984806" w:themeColor="accent6" w:themeShade="80"/>
          <w:sz w:val="20"/>
          <w:szCs w:val="20"/>
          <w:lang w:val="en-AU"/>
        </w:rPr>
        <w:t>)</w:t>
      </w:r>
    </w:p>
    <w:sectPr w:rsidR="00066667" w:rsidRPr="0094576E" w:rsidSect="00DD001B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/>
      <w:pgMar w:top="1151" w:right="1389" w:bottom="1134" w:left="992" w:header="1435" w:footer="15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EDA8" w14:textId="77777777" w:rsidR="00D92881" w:rsidRDefault="00D92881">
      <w:r>
        <w:separator/>
      </w:r>
    </w:p>
  </w:endnote>
  <w:endnote w:type="continuationSeparator" w:id="0">
    <w:p w14:paraId="061431FB" w14:textId="77777777" w:rsidR="00D92881" w:rsidRDefault="00D9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CSquareSan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1505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46A280" w14:textId="4C016AE3" w:rsidR="00DD001B" w:rsidRDefault="00DD00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D7C8ED" w14:textId="0D77FD8C" w:rsidR="00D07107" w:rsidRDefault="00D07107" w:rsidP="00EC2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200" w14:textId="77777777" w:rsidR="00D07107" w:rsidRDefault="00D07107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D6C8" w14:textId="77777777" w:rsidR="00D92881" w:rsidRDefault="00D92881">
      <w:r>
        <w:separator/>
      </w:r>
    </w:p>
  </w:footnote>
  <w:footnote w:type="continuationSeparator" w:id="0">
    <w:p w14:paraId="006FCC6A" w14:textId="77777777" w:rsidR="00D92881" w:rsidRDefault="00D9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7579" w14:textId="46840818" w:rsidR="00D07107" w:rsidRPr="00066667" w:rsidRDefault="00D07107" w:rsidP="004B768C">
    <w:pPr>
      <w:pStyle w:val="Header"/>
      <w:tabs>
        <w:tab w:val="clear" w:pos="4320"/>
        <w:tab w:val="clear" w:pos="8640"/>
        <w:tab w:val="left" w:pos="5655"/>
      </w:tabs>
      <w:rPr>
        <w:rStyle w:val="PageNumber"/>
        <w:rFonts w:ascii="Trebuchet MS" w:hAnsi="Trebuchet MS"/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8646" w14:textId="523754DD" w:rsidR="00D07107" w:rsidRDefault="00DD001B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  <w:r w:rsidRPr="00066667">
      <w:rPr>
        <w:noProof/>
        <w:sz w:val="8"/>
        <w:szCs w:val="2"/>
      </w:rPr>
      <w:drawing>
        <wp:anchor distT="0" distB="0" distL="114300" distR="114300" simplePos="0" relativeHeight="251658240" behindDoc="0" locked="0" layoutInCell="1" allowOverlap="1" wp14:anchorId="3E5EF01A" wp14:editId="1ECA3233">
          <wp:simplePos x="0" y="0"/>
          <wp:positionH relativeFrom="page">
            <wp:align>left</wp:align>
          </wp:positionH>
          <wp:positionV relativeFrom="paragraph">
            <wp:posOffset>-912495</wp:posOffset>
          </wp:positionV>
          <wp:extent cx="10702290" cy="1647825"/>
          <wp:effectExtent l="0" t="0" r="3810" b="9525"/>
          <wp:wrapSquare wrapText="bothSides"/>
          <wp:docPr id="155318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867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6" b="8986"/>
                  <a:stretch>
                    <a:fillRect/>
                  </a:stretch>
                </pic:blipFill>
                <pic:spPr bwMode="auto">
                  <a:xfrm>
                    <a:off x="0" y="0"/>
                    <a:ext cx="1070229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E2F"/>
    <w:multiLevelType w:val="hybridMultilevel"/>
    <w:tmpl w:val="CE1A639E"/>
    <w:lvl w:ilvl="0" w:tplc="5CFC96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309F"/>
    <w:multiLevelType w:val="hybridMultilevel"/>
    <w:tmpl w:val="45E4BF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9E6423"/>
    <w:multiLevelType w:val="hybridMultilevel"/>
    <w:tmpl w:val="DB48EDB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60FE4"/>
    <w:multiLevelType w:val="hybridMultilevel"/>
    <w:tmpl w:val="AA3670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168009">
    <w:abstractNumId w:val="2"/>
  </w:num>
  <w:num w:numId="2" w16cid:durableId="1729066836">
    <w:abstractNumId w:val="0"/>
  </w:num>
  <w:num w:numId="3" w16cid:durableId="50269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3400538">
    <w:abstractNumId w:val="1"/>
  </w:num>
  <w:num w:numId="5" w16cid:durableId="114644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AE"/>
    <w:rsid w:val="00000FB2"/>
    <w:rsid w:val="0004750C"/>
    <w:rsid w:val="00057783"/>
    <w:rsid w:val="00066667"/>
    <w:rsid w:val="00073EDA"/>
    <w:rsid w:val="00084DC5"/>
    <w:rsid w:val="0009426E"/>
    <w:rsid w:val="0009624F"/>
    <w:rsid w:val="000A4542"/>
    <w:rsid w:val="000C446B"/>
    <w:rsid w:val="000E0EE5"/>
    <w:rsid w:val="0010092B"/>
    <w:rsid w:val="0012115A"/>
    <w:rsid w:val="0012155F"/>
    <w:rsid w:val="00126E69"/>
    <w:rsid w:val="001809BD"/>
    <w:rsid w:val="001B0508"/>
    <w:rsid w:val="001B4E7B"/>
    <w:rsid w:val="001B711C"/>
    <w:rsid w:val="001C5BA5"/>
    <w:rsid w:val="001F2924"/>
    <w:rsid w:val="002055DD"/>
    <w:rsid w:val="00206F37"/>
    <w:rsid w:val="0024608F"/>
    <w:rsid w:val="00276E47"/>
    <w:rsid w:val="00295208"/>
    <w:rsid w:val="002E026B"/>
    <w:rsid w:val="002F1F28"/>
    <w:rsid w:val="00310A33"/>
    <w:rsid w:val="003161D7"/>
    <w:rsid w:val="0035185D"/>
    <w:rsid w:val="003766B7"/>
    <w:rsid w:val="00382F2F"/>
    <w:rsid w:val="00384E69"/>
    <w:rsid w:val="00390C4B"/>
    <w:rsid w:val="003D6E48"/>
    <w:rsid w:val="003F0FC1"/>
    <w:rsid w:val="00440799"/>
    <w:rsid w:val="00484DC4"/>
    <w:rsid w:val="00487D7E"/>
    <w:rsid w:val="00492905"/>
    <w:rsid w:val="004A2AD9"/>
    <w:rsid w:val="004B2162"/>
    <w:rsid w:val="004B768C"/>
    <w:rsid w:val="004C0B0E"/>
    <w:rsid w:val="004C1E4D"/>
    <w:rsid w:val="004D100A"/>
    <w:rsid w:val="0050104E"/>
    <w:rsid w:val="00530CC6"/>
    <w:rsid w:val="00543AAF"/>
    <w:rsid w:val="00550645"/>
    <w:rsid w:val="00567A19"/>
    <w:rsid w:val="00574F83"/>
    <w:rsid w:val="005956CF"/>
    <w:rsid w:val="005A4D2E"/>
    <w:rsid w:val="005E0585"/>
    <w:rsid w:val="005E39E3"/>
    <w:rsid w:val="00601F81"/>
    <w:rsid w:val="006026EF"/>
    <w:rsid w:val="006140D5"/>
    <w:rsid w:val="006356A7"/>
    <w:rsid w:val="00645443"/>
    <w:rsid w:val="00645FBE"/>
    <w:rsid w:val="00691E5E"/>
    <w:rsid w:val="006A239C"/>
    <w:rsid w:val="006A7611"/>
    <w:rsid w:val="006B50F7"/>
    <w:rsid w:val="006E49B1"/>
    <w:rsid w:val="00710D85"/>
    <w:rsid w:val="00715855"/>
    <w:rsid w:val="007341A9"/>
    <w:rsid w:val="00754419"/>
    <w:rsid w:val="00755876"/>
    <w:rsid w:val="00763ECE"/>
    <w:rsid w:val="007A13C0"/>
    <w:rsid w:val="007B75E5"/>
    <w:rsid w:val="007C227B"/>
    <w:rsid w:val="007C6398"/>
    <w:rsid w:val="007E3221"/>
    <w:rsid w:val="00810B25"/>
    <w:rsid w:val="008533B1"/>
    <w:rsid w:val="00892ADC"/>
    <w:rsid w:val="00896A2C"/>
    <w:rsid w:val="00897189"/>
    <w:rsid w:val="008D3306"/>
    <w:rsid w:val="008E4A49"/>
    <w:rsid w:val="008F7DD3"/>
    <w:rsid w:val="00920FD8"/>
    <w:rsid w:val="009424A4"/>
    <w:rsid w:val="0094576E"/>
    <w:rsid w:val="00955649"/>
    <w:rsid w:val="00966D64"/>
    <w:rsid w:val="00987D1F"/>
    <w:rsid w:val="0099385C"/>
    <w:rsid w:val="009B09EF"/>
    <w:rsid w:val="009B1609"/>
    <w:rsid w:val="00A0774B"/>
    <w:rsid w:val="00A60CF2"/>
    <w:rsid w:val="00A62A0E"/>
    <w:rsid w:val="00A6612C"/>
    <w:rsid w:val="00A85DDC"/>
    <w:rsid w:val="00A921DE"/>
    <w:rsid w:val="00AA22CF"/>
    <w:rsid w:val="00AC75A4"/>
    <w:rsid w:val="00AE0B87"/>
    <w:rsid w:val="00AF0271"/>
    <w:rsid w:val="00AF73BC"/>
    <w:rsid w:val="00AF7CB0"/>
    <w:rsid w:val="00B00CFE"/>
    <w:rsid w:val="00B426C3"/>
    <w:rsid w:val="00B531B4"/>
    <w:rsid w:val="00B87C42"/>
    <w:rsid w:val="00BB679F"/>
    <w:rsid w:val="00BD1D1A"/>
    <w:rsid w:val="00BD24CC"/>
    <w:rsid w:val="00BE0E56"/>
    <w:rsid w:val="00BF3D7D"/>
    <w:rsid w:val="00C22E5C"/>
    <w:rsid w:val="00C3067D"/>
    <w:rsid w:val="00C70686"/>
    <w:rsid w:val="00C752AE"/>
    <w:rsid w:val="00C97656"/>
    <w:rsid w:val="00CC0A65"/>
    <w:rsid w:val="00CC7BCA"/>
    <w:rsid w:val="00CD11B0"/>
    <w:rsid w:val="00CF1021"/>
    <w:rsid w:val="00D07107"/>
    <w:rsid w:val="00D200B1"/>
    <w:rsid w:val="00D312B8"/>
    <w:rsid w:val="00D62FFF"/>
    <w:rsid w:val="00D92881"/>
    <w:rsid w:val="00DA40EC"/>
    <w:rsid w:val="00DB5BD8"/>
    <w:rsid w:val="00DD001B"/>
    <w:rsid w:val="00DF2339"/>
    <w:rsid w:val="00E1799C"/>
    <w:rsid w:val="00E350AA"/>
    <w:rsid w:val="00E46C1F"/>
    <w:rsid w:val="00E510B0"/>
    <w:rsid w:val="00E55442"/>
    <w:rsid w:val="00E628C5"/>
    <w:rsid w:val="00E76006"/>
    <w:rsid w:val="00E96D6D"/>
    <w:rsid w:val="00EC233F"/>
    <w:rsid w:val="00ED369A"/>
    <w:rsid w:val="00EF65B2"/>
    <w:rsid w:val="00EF6F85"/>
    <w:rsid w:val="00F2002B"/>
    <w:rsid w:val="00F416C1"/>
    <w:rsid w:val="00F41EB9"/>
    <w:rsid w:val="00F554F8"/>
    <w:rsid w:val="00F60875"/>
    <w:rsid w:val="00F61E11"/>
    <w:rsid w:val="00F677DE"/>
    <w:rsid w:val="00F844BB"/>
    <w:rsid w:val="00F864BC"/>
    <w:rsid w:val="00F87D5E"/>
    <w:rsid w:val="00F91736"/>
    <w:rsid w:val="00FB0C1E"/>
    <w:rsid w:val="00FB5152"/>
    <w:rsid w:val="00FE4DB2"/>
    <w:rsid w:val="00FF2EF2"/>
    <w:rsid w:val="00FF5327"/>
    <w:rsid w:val="0396322C"/>
    <w:rsid w:val="04D1DC15"/>
    <w:rsid w:val="07D92397"/>
    <w:rsid w:val="0A9F98A6"/>
    <w:rsid w:val="10D52933"/>
    <w:rsid w:val="11B3F892"/>
    <w:rsid w:val="14CDC534"/>
    <w:rsid w:val="151F14F1"/>
    <w:rsid w:val="15EBCB61"/>
    <w:rsid w:val="1682EACC"/>
    <w:rsid w:val="19D29AE0"/>
    <w:rsid w:val="1E9CE5EA"/>
    <w:rsid w:val="1EC73019"/>
    <w:rsid w:val="1EDF06EA"/>
    <w:rsid w:val="20AD03AA"/>
    <w:rsid w:val="271DCC50"/>
    <w:rsid w:val="287079B6"/>
    <w:rsid w:val="2A76DA02"/>
    <w:rsid w:val="2C50B385"/>
    <w:rsid w:val="2E94D843"/>
    <w:rsid w:val="354A5C1F"/>
    <w:rsid w:val="357A26C0"/>
    <w:rsid w:val="37BAED24"/>
    <w:rsid w:val="3DC15436"/>
    <w:rsid w:val="3FB342BB"/>
    <w:rsid w:val="44F9D002"/>
    <w:rsid w:val="489EF691"/>
    <w:rsid w:val="49C67344"/>
    <w:rsid w:val="530AE046"/>
    <w:rsid w:val="5576B778"/>
    <w:rsid w:val="575563EA"/>
    <w:rsid w:val="5A2D3371"/>
    <w:rsid w:val="5D034E36"/>
    <w:rsid w:val="64382F36"/>
    <w:rsid w:val="686BBBEF"/>
    <w:rsid w:val="695584EA"/>
    <w:rsid w:val="6BD0B5E5"/>
    <w:rsid w:val="6E0B91E9"/>
    <w:rsid w:val="723614BF"/>
    <w:rsid w:val="7650B8C6"/>
    <w:rsid w:val="78D74E4E"/>
    <w:rsid w:val="78E73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/>
    <o:shapelayout v:ext="edit">
      <o:idmap v:ext="edit" data="2"/>
    </o:shapelayout>
  </w:shapeDefaults>
  <w:decimalSymbol w:val="."/>
  <w:listSeparator w:val=","/>
  <w14:docId w14:val="10CF90D8"/>
  <w15:docId w15:val="{30F5826F-E49D-41FB-B33C-4C2EEA33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55876"/>
    <w:rPr>
      <w:rFonts w:ascii="CG Times (WN)" w:hAnsi="CG Times (WN)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C233F"/>
    <w:rPr>
      <w:rFonts w:ascii="CG Times (WN)" w:hAnsi="CG Times (WN)"/>
      <w:sz w:val="24"/>
      <w:lang w:val="en-GB"/>
    </w:rPr>
  </w:style>
  <w:style w:type="table" w:styleId="TableGrid">
    <w:name w:val="Table Grid"/>
    <w:basedOn w:val="TableNormal"/>
    <w:rsid w:val="00C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E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26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rsid w:val="00382F2F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rebuchet MS" w:hAnsi="Trebuchet MS"/>
      <w:lang w:val="en-G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ivat\Documents\SINIVA\Finance\SPREP_Asset%20Transfer%20Form_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580F1-49DA-4C48-A8EC-882A08DF5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54151-4AF2-426F-89F5-0070D317A498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customXml/itemProps3.xml><?xml version="1.0" encoding="utf-8"?>
<ds:datastoreItem xmlns:ds="http://schemas.openxmlformats.org/officeDocument/2006/customXml" ds:itemID="{FA956442-2C4F-41E4-B153-78E146AF4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379e0-c8fe-4c72-bd8d-06eab88b1c4d"/>
    <ds:schemaRef ds:uri="4600bc44-2015-4da8-875d-07b815e1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SPREP_Asset Transfer Form_DRAFT</Template>
  <TotalTime>11</TotalTime>
  <Pages>2</Pages>
  <Words>361</Words>
  <Characters>1883</Characters>
  <Application>Microsoft Office Word</Application>
  <DocSecurity>0</DocSecurity>
  <Lines>106</Lines>
  <Paragraphs>46</Paragraphs>
  <ScaleCrop>false</ScaleCrop>
  <Company>Toshiba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subject/>
  <dc:creator>sinivat</dc:creator>
  <cp:keywords/>
  <cp:lastModifiedBy>Marica Ratuki</cp:lastModifiedBy>
  <cp:revision>18</cp:revision>
  <cp:lastPrinted>2004-08-04T22:07:00Z</cp:lastPrinted>
  <dcterms:created xsi:type="dcterms:W3CDTF">2025-08-13T17:34:00Z</dcterms:created>
  <dcterms:modified xsi:type="dcterms:W3CDTF">2026-03-26T19:39:00Z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</Properties>
</file>